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BB096F" Type="http://schemas.openxmlformats.org/officeDocument/2006/relationships/officeDocument" Target="/word/document.xml" /><Relationship Id="coreR27BB096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Nieruchomość gruntowa przeznaczona do zamiany,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zamiany.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Przeznaczone do zamiany nieruchomości gruntowe nr 112/2 oraz 118/2, obręb ewidencyjny 15 Wałdówko, gm. Sępólno Krajeńskie, nie są położone w obszarze objętym miejscowym planem zagospodarowania przestrzennego.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Zamiana nieruchomości gruntowych jest niezbędna, w celu przeznaczenia dz. nr 112/2 na drogę publiczną, która przyczyni się do poprawy bezpieczeństwa użytkowników ruchu drogowego. Dla realizacji niniejszego celu publicznego, Gmina podejmuje starania o nabycie do gminnego zasobu nieruchomości, gruntów przeznaczonych pod drogę.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2024-03-28T11:54:38Z</dcterms:created>
  <cp:lastModifiedBy>HOST-13\Frosina</cp:lastModifiedBy>
  <dcterms:modified xsi:type="dcterms:W3CDTF">2024-03-28T10:54:49Z</dcterms:modified>
  <cp:revision>2</cp:revision>
  <dc:subject>w sprawie zamiany nieruchomości będącej własnością Gminy Sępólno Krajenskie na nieruchomość_x000a_stanowiącą własność prywatną, położoną w miejscowości Wałdówko</dc:subject>
  <dc:title>Uchwała Nr LXVI/598/2024 z dnia 27 marca 2024 r.</dc:title>
</cp:coreProperties>
</file>