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5EB9C7" Type="http://schemas.openxmlformats.org/officeDocument/2006/relationships/officeDocument" Target="/word/document.xml" /><Relationship Id="coreR425EB9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Działając na podstawie</w:t>
      </w:r>
      <w:r>
        <w:rPr>
          <w:rFonts w:ascii="Times New Roman" w:hAnsi="Times New Roman"/>
          <w:b w:val="0"/>
          <w:caps w:val="0"/>
          <w:sz w:val="22"/>
        </w:rPr>
        <w:t> art. 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198k ust. 2 i 3 </w:t>
      </w:r>
      <w:r>
        <w:rPr>
          <w:rFonts w:ascii="Times New Roman" w:hAnsi="Times New Roman"/>
          <w:b w:val="0"/>
          <w:caps w:val="0"/>
          <w:sz w:val="22"/>
        </w:rPr>
        <w:t xml:space="preserve"> ustawy o gospodarce nieruchomościami,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w</w:t>
      </w:r>
      <w:r>
        <w:rPr>
          <w:rFonts w:ascii="Times New Roman" w:hAnsi="Times New Roman"/>
          <w:b w:val="0"/>
          <w:caps w:val="0"/>
          <w:sz w:val="22"/>
        </w:rPr>
        <w:t xml:space="preserve"> odniesieniu do nieruchomości stanowiących własność jednostek samorządu terytorialnego właściwy organ udziela na podstawie uchwały odpowiedniej rady bonifikaty od ceny nieruchomości gruntowej sprzedawanej jej użytkownikowi wieczystemu.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W uchwale rady, określa się warunki udzielania bonifikat i wysokość stawek procentowych.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 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2022-09-08T09:29:55Z</dcterms:created>
  <cp:lastModifiedBy>HOST-13\Frosina</cp:lastModifiedBy>
  <dcterms:modified xsi:type="dcterms:W3CDTF">2023-12-29T06:53:23Z</dcterms:modified>
  <cp:revision>39</cp:revision>
  <dc:subject>w sprawie sprzedaży nieruchomości gruntowej położonej przy ul. Osiedle Słowackiego w Sępólnie Krajeńskim</dc:subject>
  <dc:title>Uchwała Nr XLVIII/.../2022 z dnia 28 września 2022 r.</dc:title>
</cp:coreProperties>
</file>