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661256" Type="http://schemas.openxmlformats.org/officeDocument/2006/relationships/officeDocument" Target="/word/document.xml" /><Relationship Id="coreR4E6612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Ustawa z dnia 24 kwietnia 2003 roku o działalności pożytku publicznego i o wolontariacie (Dz. U. z 2023 r. poz. 571) nakazuje organom administracji publicznej przy realizacji zadań publicznych współpracować z organizacjami pozarządowymi oraz podmiotami, o których mowa w art. 3 ust. 3 ustawy prowadzącymi działalność pożytku publicznego oraz określa formy tej współpracy.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Program współpracy dotyczy różnorodnych form współdziałania, a nie jedynie zlecania zadań. Zostały w nim określone roczne zamierzenia, priorytety działania oraz wyznaczone cele, jakie stawiają sobie organizacje pozarządowe i samorząd Gminy Sępólno Krajeńskie w realizowanych przez siebie zadaniach. Uwzględnia on również system oceny i monitorowania realizowanych usług zarówno przez sektor samorządowy, jak i pozarządowy. Współpraca samorządu terytorialnego z organizacjami pozarządowymi jest jednym z nieodłącznych elementów rozwoju demokratycznego społeczeństwa obywatelskiego. Jej podstawowymi zadaniami są poprawa warunków życia mieszkańców, zapewnienie możliwości poszerzania aktywności społecznej oraz czynnego uczestnictwa w życiu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to wynik trwających doświadczeń w tworzeniu i realizacji programów współpracy w Gminie. Program jest najważniejszym dokumentem regulującym współpracę samorządu z trzecim sektorem i co roku uchwalanym przez Radę Miejską w Sępólnie Krajeńskim. Przyjęcie programu jest nie tylko spełnieniem ustawowego obowiązku, lecz także przejawem kształtowania prawdziwie partnerskiej współpracy z organizacjami pozarządowymi oraz współdziałaniem w realizacji ustawowych zadań.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poddany konsultacjom z organizacjami pozarządowymi i podmiotami, o których mowa w art. 3 ust. 3 ustawy o działalności pożytku publicznego i o wolontariacie oraz uzyskał pozytywną opinię Komisji Oświaty, Kultury, Sportu i Zdrowia oraz Komisji Statutowej i Pomocy Społecznej Rady Miejskiej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powyższym podjęcie niniejszej uchwały jest w pełni uzasadnione.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2023-10-26T14:04:52Z</dcterms:created>
  <cp:lastModifiedBy>HOST-13\Frosina</cp:lastModifiedBy>
  <dcterms:modified xsi:type="dcterms:W3CDTF">2023-10-26T12:06:10Z</dcterms:modified>
  <cp:revision>2</cp:revision>
  <dc:subject>w sprawie przyjęcia „Programu Współpracy Gminy Sępólno Krajeńskie z organizacjami pozarządowymi i innymi podmiotami prowadzącymi działalność pożytku publicznego na rok 2024”</dc:subject>
  <dc:title>Uchwała Nr LXI/557/2023 z dnia 25 października 2023 r.</dc:title>
</cp:coreProperties>
</file>