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20435ED" Type="http://schemas.openxmlformats.org/officeDocument/2006/relationships/officeDocument" Target="/word/document.xml" /><Relationship Id="coreR220435E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Niniejszą uchwałę podejmuje się w związku z wejściem w życie ustawy z dnia 7 lipca 2023 r.  o zmianie ustawy o ochotniczych strażach pożarnych oraz niektórych innych ustwaw (Dz. U. z 2023r., poz. 1560). Zmieniono zasady wypłacenia ekwiwalentu dla strażaków OSP. Według nowych przepisów ekwiwalent pieniężny otrzymują strażacy ratownicy oraz kandydaci na strażaka ratownika OSP, którzy przygotowują się do działań ratowniczych.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Ze względu na to, że uprawnienia do ekwiwalent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u</w:t>
      </w:r>
      <w:r>
        <w:rPr>
          <w:rFonts w:ascii="Times New Roman" w:hAnsi="Times New Roman"/>
          <w:b w:val="0"/>
          <w:caps w:val="0"/>
          <w:sz w:val="22"/>
        </w:rPr>
        <w:t xml:space="preserve"> otrzymała nowa grupa, czyli kandydaci na strażaka ratownika OSP, przyjęcie przedmiotowej uchwały jest konieczne i uzasadnione.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uzyskał pozytywną opinię Komisji Budżetu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Basińska-Czachor</dc:creator>
  <dcterms:created xsi:type="dcterms:W3CDTF">2023-10-09T11:43:07Z</dcterms:created>
  <cp:lastModifiedBy>HOST-13\Frosina</cp:lastModifiedBy>
  <dcterms:modified xsi:type="dcterms:W3CDTF">2023-10-26T12:02:22Z</dcterms:modified>
  <cp:revision>14</cp:revision>
  <dc:subject>w sprawie ustalenia wysokości ekwiwalentu pieniężnego dla strażaków ratowników i kandydatów na strażaków ratowników Ochotniczych Straży Pożarnych Gminy Sępólno Krajeńskie</dc:subject>
  <dc:title>Uchwała Nr LXI/.../2023 z dnia 25 października 2023 r.</dc:title>
</cp:coreProperties>
</file>