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6C651F" Type="http://schemas.openxmlformats.org/officeDocument/2006/relationships/officeDocument" Target="/word/document.xml" /><Relationship Id="coreR1B6C651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art. 28aa ust. 1 i 2 ustawy z 08.03.1990 r. o samorządzie gminnym, burmistrz co roku do dnia 31 maja przedstawia radzie gminy raport o stanie  gminy,  który  obejmuje  podsumowanie  działalności burmistrza w roku poprzednim, w szczególności  realizację  polityk,  programów  i strategii,  uchwał  rady  gminy  i budżetu obywatelskiego.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Burmistrz Sępólna Krajeńskiego przedstawił Radzie Miejskiej w Sępólnie Krajeńskim raport o stanie  gminy.  Po  przeprowadzeniu  debaty  nad  tym  raportem, postanawia się udzielić wotum zaufania Burmistrzowi Sępólna Krajeńskiego.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przedmiotowej uchwały uzyskał pozytywną opinię Komisji Statutowej i Pomocy Społecznej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2023-06-01T14:55:26Z</dcterms:created>
  <cp:lastModifiedBy>HOST-13\Frosina</cp:lastModifiedBy>
  <dcterms:modified xsi:type="dcterms:W3CDTF">2023-06-01T12:55:31Z</dcterms:modified>
  <cp:revision>2</cp:revision>
  <dc:subject>w sprawie udzielenia Burmistrzowi Sępólna Krajeńskiego wotum zaufania</dc:subject>
  <dc:title>Uchwała Nr LVII/519/2023 z dnia 31 maja 2023 r.</dc:title>
</cp:coreProperties>
</file>