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7A62F6B3" Type="http://schemas.openxmlformats.org/officeDocument/2006/relationships/officeDocument" Target="/word/document.xml" /><Relationship Id="coreR7A62F6B3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1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 xml:space="preserve">W dniu 9 września 2026 r. do Przewodniczącego Rady Miejskiej w Sępólnie Krajeńskim wpłynęła petycja z dnia 1 września 2026 r. adresowana do Rady Miejskiej w Sępólnie Krajeńskim w sprawie kategorycznego sprzeciwu wobec budowy ronda i niszczenia lokalnej infrastruktury.  Przewodniczący Rady Miejskiej w Sępólnie Krajeńskim na podstawie § 109d ust. 1 pkt 3 Statutu Gminy Sępólno Krajeńskie z dnia 23 kwietnia 2003 r. (t.j. Dz. Urz. Woj. Kuj. – Pom. z 2020 r. poz. 834 z późn. zm.)  skierował petycję do rozpatrzenia do Komisji Skarg, Wniosków i Petycji Rady Miejskiej w Sępólnie Krajeńskim. Komisja Skarg, Wniosków i Petycji Rady Miejskiej w Sępólnie Krajeńskim po przeprowadzeniu postępowania wyjaśniającego w dniu 14 października 2026 r. przygotowała projekt niniejszej uchwały.</w:t>
      </w:r>
    </w:p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z w:val="22"/>
          <w:u w:val="none"/>
          <w:vertAlign w:val="baseline"/>
        </w:rPr>
      </w:pPr>
      <w:r>
        <w:rPr>
          <w:rFonts w:ascii="Times New Roman" w:hAnsi="Times New Roman"/>
          <w:b w:val="0"/>
          <w:caps w:val="0"/>
          <w:sz w:val="22"/>
        </w:rPr>
        <w:t>  </w:t>
      </w:r>
    </w:p>
    <w:tbl>
      <w:tblPr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blPrEx>
          <w:tblW w:w="5000" w:type="pct"/>
        </w:tblPrEx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jc w:val="left"/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</w:pPr>
          </w:p>
        </w:tc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firstLine="0" w:left="1134" w:right="1134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instrText>MERGEFIELD SIGNATURE_0_0__FUNCTION \* MERGEFORMAT</w:instrTex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br w:type="textWrapping"/>
              <w:br w:type="textWrapping"/>
              <w:br w:type="textWrapping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SIGNATURE_0_0_FIRSTNAME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Artur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SIGNATURE_0_0_LASTNAME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Juhnke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</w:p>
        </w:tc>
      </w:tr>
    </w:tbl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z w:val="22"/>
          <w:u w:val="none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T.Dix</dc:creator>
  <dcterms:created xsi:type="dcterms:W3CDTF">2026-10-29T13:53:53Z</dcterms:created>
  <cp:lastModifiedBy>UMSK\M.Frosina</cp:lastModifiedBy>
  <dcterms:modified xsi:type="dcterms:W3CDTF">2026-10-30T07:11:56Z</dcterms:modified>
  <cp:revision>3</cp:revision>
  <dc:subject>w sprawie przekazania petycji według właściwości</dc:subject>
  <dc:title>Uchwała nr  XXXII/248/2026 z dnia 28 października 2026 r.</dc:title>
</cp:coreProperties>
</file>