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0C134FF" Type="http://schemas.openxmlformats.org/officeDocument/2006/relationships/officeDocument" Target="/word/document.xml" /><Relationship Id="coreR40C134FF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Załącznik do uchwały nr XXXII/247/2026</w:t>
        <w:br w:type="textWrapping"/>
        <w:t>Rady Miejskiej w Sępólnie Krajeńskim</w:t>
        <w:br w:type="textWrapping"/>
        <w:t>z dnia 28 października 2026 r.</w:t>
      </w:r>
    </w:p>
    <w:p>
      <w:pPr>
        <w:keepNext w:val="0"/>
        <w:keepLines w:val="0"/>
        <w:spacing w:lineRule="auto" w:line="360" w:before="120" w:after="12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 dniu 9 września 2026 r. do Przewodniczącego Rady Miejskiej w Sępólnie Krajeńskim wpłynęła petycja z dnia 8 września 2026 r. adresowana do Rady Miejskiej w Sępólnie Krajeńskim w sprawie nagrywania i publikowania posiedzeń Komisji Rady Miejskiej w Sępólnie Krajeńskim. Wnoszący petycję zwraca się o wprowadzenie stałego systemu nagrywania dźwięku (audio) wszystkich jawnych posiedzeń stałych i doraźnych Komisji Rady Miejskiej w Sępolnie Krajeńskim oraz publikowania zarejestrowanych nagrań w Internecie. W petycji wskazano, że celem proponowanych rozwiązań jest zwiększenie przejrzystości działania organów samorządu terytorialnego, ułatwienie mieszkańcom dostępu do informacji o przebiegu prac komisji oraz zapewnienie możliwości zapoznania się z ich przebiegiem również po zakończeniu posiedzenia. W petycji zaproponowano w szczególności rejestrowanie dźwięku bez konieczności prowadzenia transmisji obrazu, wykorzystanie posiadanej infrastruktury technicznej, publikowanie nagrań w możliwie krótkim terminie oraz stosowanie zasad ochrony danych osobowych i informacji prawnie chronionych.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 xml:space="preserve">Petycja została skierowana do Komisji Skarg, Wniosków i Petycji Rady Miejskiej w Sępólnie Krajeńskim. Komisji Skarg, Wniosków i Petycji Rady Miejskiej w Sępólnie Krajeńskim w toku rozpatrywania petycji na swoim posiedzeniu w dniu 8 października 2026r. podkreśliła znaczenie jawności działania organów samorządu terytorialnego oraz zasadność zapewnienia mieszkańcom dostępu do informacji o działalności Rady i jej komisji. Jednocześnie realizacja zasady jawności powinna uwzględniać obowiązujące przepisy  prawa, organizację pracy Rady, możliwości techniczne i finansowe gminy, a także konieczność zapewnienia prawidłowego przebiegu posiedzeń. W ocenie Komisji Skarg, Wniosków i Petycji Rady Miejskiej w Sępólnie Krajeńskim wprowadzenie stałego obowiązku nagrywania i publikowania nagrań ze wszystkich posiedzeń komisji wymagałoby zapewnienia odpowiednich rozwiązań organizacyjnych i technicznych, w tym ustalenia zasad rejestrowania, przechowywania, udostępniania i archiwizowania nagrań. Konieczne byłoby również zapewnienie prawidłowej ochrony danych osobowych oraz informacji podlegających ochronie prawnej, a w przypadkach wymagających ingerencji w nagranie – odpowiedniego przygotowania materiału do publikacji.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Rada Miejska w Sępólnie Krajeńskim, podzielając stanowisko Komisji Skarg, Wniosków i Petycji Rady Miejskiej w Sępólnie Krajeńskim uznała, że wprowadzenie postulowane rozwiązania jako stałego obowiązku dla wszystkich komisji nie jest obecnie uzasadnione w stosunku do zakładanych korzyści. Zasadne jest natomiast dalsze zapewnianie jawności prac komisji w ramach obowiązujących przepisów oraz wykorzystywanie dostępnych sposobów informowania mieszkańców o działalności organów gminy m.in. poprzez zamieszczanie protokołów z ich posiedzeń w Biuletynie Informacji Publicznej. Należy podkreślić, że nieuwzględnienie petycji nie oznacza zakwestionowania zasady jawności życia publicznego ani prawa mieszkańców do uzyskiwania informacji o działalności organów gminy. Rozstrzygnięcie dotyczy wyłącznie postulatu wprowadzenia stałego systemu nagrywania dźwięku i publikowania nagrań ze wszystkich jawnych posiedzeń komisji w proponowanym przez wnoszącego zakresie.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Mając powyższe na uwadze, Rada Miejska w Sępólnie Krajeńskim postanowiła nie uwzględnić przedmiotowej petycji.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</w:p>
    <w:p>
      <w:pPr>
        <w:keepNext w:val="1"/>
        <w:keepLines w:val="1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Rada Miejska w Sępólnie Krajeńskim informuje, że zgodnie z art. 12 ust. 1 ustawy z dnia 11 lipca 2014 r. o petycjach podmiot właściwy do rozpatrzenia petycji może pozostawić bez rozpatrzenia petycję złożoną w sprawie, która była przedmiotem petycji już rozpatrzonej przez ten podmiot, jeżeli w petycji nie powołano się na nowe fakty lub dowody nieznane podmiotowi właściwemu do rozpatrzenia petycji.</w:t>
      </w:r>
    </w:p>
    <w:p>
      <w:pPr>
        <w:keepNext w:val="1"/>
        <w:spacing w:before="0" w:after="0" w:beforeAutospacing="0" w:afterAutospacing="0"/>
        <w:rPr>
          <w:b w:val="0"/>
          <w:i w:val="0"/>
          <w:color w:val="000000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p>
      <w:pPr>
        <w:keepNext w:val="1"/>
        <w:spacing w:before="0" w:after="0" w:beforeAutospacing="0" w:afterAutospacing="0"/>
        <w:rPr>
          <w:b w:val="0"/>
          <w:i w:val="0"/>
          <w:color w:val="000000"/>
          <w:u w:val="none"/>
          <w:vertAlign w:val="baseline"/>
        </w:rPr>
      </w:pP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tbl>
      <w:tblPr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blPrEx>
          <w:tblW w:w="5000" w:type="pct"/>
        </w:tblPrEx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jc w:val="left"/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</w:pPr>
          </w:p>
        </w:tc>
        <w:tc>
          <w:tcPr>
            <w:tcW w:w="493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firstLine="0" w:left="1134" w:right="1134"/>
              <w:jc w:val="center"/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instrText>MERGEFIELD SIGNATURE_0_0__FUNCTION \* MERGEFORMAT</w:instrTex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br w:type="textWrapping"/>
              <w:br w:type="textWrapping"/>
              <w:br w:type="textWrapping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SIGNATURE_0_0_FIRSTNAME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Artur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instrText>MERGEFIELD SIGNATURE_0_0_LASTNAME \* MERGEFORMAT</w:instrTex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Juhnke</w:t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fldChar w:fldCharType="end"/>
            </w:r>
            <w:r>
              <w:rPr>
                <w:rFonts w:ascii="Times New Roman" w:hAnsi="Times New Roman"/>
                <w:b w:val="1"/>
                <w:i w:val="0"/>
                <w:color w:val="000000"/>
                <w:sz w:val="22"/>
              </w:rPr>
              <w:t> </w:t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T.Dix</dc:creator>
  <dcterms:created xsi:type="dcterms:W3CDTF">2026-10-29T13:54:16Z</dcterms:created>
  <cp:lastModifiedBy>UMSK\M.Frosina</cp:lastModifiedBy>
  <dcterms:modified xsi:type="dcterms:W3CDTF">2026-10-30T07:10:43Z</dcterms:modified>
  <cp:revision>11</cp:revision>
  <dc:subject>w sprawie rozpatrzenia petycji z dnia 8 września 2026 r.</dc:subject>
  <dc:title>Uchwała nr  XXXII/247/2026 z dnia 28 października 2026 r.</dc:title>
</cp:coreProperties>
</file>