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theme/theme1.xml" ContentType="application/vnd.openxmlformats-officedocument.theme+xml"/>
</Types>
</file>

<file path=_rels/.rels>&#65279;<?xml version="1.0" encoding="utf-8"?><Relationships xmlns="http://schemas.openxmlformats.org/package/2006/relationships"><Relationship Id="R7C8A9EDE" Type="http://schemas.openxmlformats.org/officeDocument/2006/relationships/officeDocument" Target="/word/document.xml" /><Relationship Id="coreR7C8A9EDE" Type="http://schemas.openxmlformats.org/package/2006/relationships/metadata/core-properties" Target="/docProps/core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ody>
    <w:p/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b w:val="1"/>
          <w:caps w:val="0"/>
          <w:sz w:val="22"/>
        </w:rPr>
      </w:pPr>
      <w:r>
        <w:rPr>
          <w:rFonts w:ascii="Times New Roman" w:hAnsi="Times New Roman"/>
          <w:b w:val="1"/>
          <w:caps w:val="0"/>
          <w:sz w:val="22"/>
        </w:rPr>
        <w:t>Uzasadnienie</w:t>
      </w:r>
    </w:p>
    <w:p>
      <w:pPr>
        <w:keepNext w:val="0"/>
        <w:keepLines w:val="0"/>
        <w:ind w:firstLine="0" w:left="0" w:right="0"/>
        <w:jc w:val="center"/>
        <w:rPr>
          <w:rFonts w:ascii="Times New Roman" w:hAnsi="Times New Roman"/>
          <w:sz w:val="22"/>
        </w:rPr>
      </w:pP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Zgodnie z art. 44 ust. 1 ustawy o ochronie przyrody, ustanowienie użytku ekologicznego następuje w drodze uchwały rady gminy (t.j. Dz. U. z 2026 r. poz. 13 z późn. zm.).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>Uchwała rady gminy określa nazwę danego obiektu lub obszaru, jego położenie, sprawującego nadzór, szczególne cele ochrony, w razie potrzeby ustalenia dotyczące jego czynnej ochrony oraz zakazy właściwe dla tego obiektu, obszaru lub jego części, wybrane spośród zakazów wymienionych w art. 45 ust. 1.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caps w:val="0"/>
          <w:sz w:val="22"/>
        </w:rPr>
      </w:pPr>
      <w:r>
        <w:rPr>
          <w:rFonts w:ascii="Times New Roman" w:hAnsi="Times New Roman"/>
          <w:b w:val="0"/>
          <w:caps w:val="0"/>
          <w:sz w:val="22"/>
        </w:rPr>
        <w:t xml:space="preserve">Wniosek o utworzenie użytku ekologicznego pod nazwą „Trzcinowiska II” został złożony </w:t>
      </w:r>
      <w:r>
        <w:rPr>
          <w:rFonts w:ascii="Times New Roman" w:hAnsi="Times New Roman"/>
          <w:b w:val="0"/>
          <w:caps w:val="0"/>
          <w:sz w:val="22"/>
          <w:lang w:val="pl-PL" w:bidi="pl-PL" w:eastAsia="pl-PL"/>
        </w:rPr>
        <w:br w:type="textWrapping"/>
      </w:r>
      <w:r>
        <w:rPr>
          <w:rFonts w:ascii="Times New Roman" w:hAnsi="Times New Roman"/>
          <w:b w:val="0"/>
          <w:caps w:val="0"/>
          <w:sz w:val="22"/>
        </w:rPr>
        <w:t>przez Nadleśnictwo Runowo.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z w:val="22"/>
          <w:vertAlign w:val="baseline"/>
        </w:rPr>
        <w:t xml:space="preserve">Ochroną objęto </w:t>
      </w:r>
      <w:r>
        <w:rPr>
          <w:rFonts w:ascii="Times New Roman" w:hAnsi="Times New Roman"/>
          <w:b w:val="0"/>
          <w:i w:val="0"/>
          <w:caps w:val="0"/>
          <w:sz w:val="22"/>
          <w:vertAlign w:val="baseline"/>
          <w:lang w:val="pl-PL" w:bidi="pl-PL" w:eastAsia="pl-PL"/>
        </w:rPr>
        <w:t>część</w:t>
      </w:r>
      <w:r>
        <w:rPr>
          <w:rFonts w:ascii="Times New Roman" w:hAnsi="Times New Roman"/>
          <w:b w:val="0"/>
          <w:i w:val="0"/>
          <w:caps w:val="0"/>
          <w:sz w:val="22"/>
          <w:vertAlign w:val="baseline"/>
        </w:rPr>
        <w:t xml:space="preserve"> dział</w:t>
      </w:r>
      <w:r>
        <w:rPr>
          <w:rFonts w:ascii="Times New Roman" w:hAnsi="Times New Roman"/>
          <w:b w:val="0"/>
          <w:i w:val="0"/>
          <w:caps w:val="0"/>
          <w:sz w:val="22"/>
          <w:vertAlign w:val="baseline"/>
          <w:lang w:val="pl-PL" w:bidi="pl-PL" w:eastAsia="pl-PL"/>
        </w:rPr>
        <w:t>ki</w:t>
      </w:r>
      <w:r>
        <w:rPr>
          <w:rFonts w:ascii="Times New Roman" w:hAnsi="Times New Roman"/>
          <w:b w:val="0"/>
          <w:i w:val="0"/>
          <w:caps w:val="0"/>
          <w:sz w:val="22"/>
          <w:vertAlign w:val="baseline"/>
        </w:rPr>
        <w:t xml:space="preserve"> ewidencyjnej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nr 21, w obrębie 0005 Komierowo,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w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gmin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Sępólno Krajeńskie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, oddział leśny 67o.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Nieruchomość stanowi własność Skarbu Państwa i znajduje się w stałym zarządzie Państwowego Gospodarstwa Leśnego Lasy Państwowe – Nadleśnictwo Runowo. Zarządca nieruchomości wyraził oficjalną zgodę na ustanowienie tej formy ochrony przyrody.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Przebieg granic „Trzcinowiska II” został precyzyjnie określony za pomocą współrzędnych punktów załamania granic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Organem sprawującym nadzór nad użytkiem ekologicznym ustanawia się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Nadleśniczego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Nadleśnictw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a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Runowo. 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Głównym celem ustanowienia użytku ekologicznego jest zachowanie obecnego stanu ekosystemu trzcinowisk i obszarów podmokłych zlokalizowanych w dolinie rzeki Sępolny.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Teren ten stanowi cenne, naturalne środowisko i potencjalne siedlisko dla ptaków charakterystycznych dla biotopu rzecznego.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W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nioskodawca wskazał, że nie zachodzi konieczność objęcia obszaru ochroną czynną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 celu skutecznego zabezpieczenia ekosystemu przed antropopresją i zniszczeniem, w uchwale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wprowadza się zakazy wymienione w art. 45 ust. 1 ustawy o ochronie przyrody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Ustanowienie użytku podnosi prestiż przyrodniczy gminy i stanowi element realizacji strategii ochrony środowiska na poziomie lokalnym.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Projekt niniejszej uchwały został pozytywnie zaopiniowany przez Komisj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>ę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 xml:space="preserve"> Rolnictwa, Leśnictwa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  <w:br w:type="textWrapping"/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i Ochrony Środowiska Rady Miejskiej w Sępólnie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Krajeńskim oraz uzgodniony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z Regionalnym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  <w:lang w:val="pl-PL" w:bidi="pl-PL" w:eastAsia="pl-PL"/>
        </w:rPr>
        <w:t xml:space="preserve"> </w:t>
      </w: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Dyrektorem Ochrony Środowiska w Bydgoszczy.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  <w:r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  <w:t>Wobec powyższego, podjęcie uchwały jest uzasadnione.</w:t>
      </w:r>
    </w:p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tbl>
      <w:tblPr>
        <w:tblStyle w:val="T1"/>
        <w:tblW w:w="5000" w:type="pct"/>
        <w:tblBorders>
          <w:top w:val="none" w:sz="4" w:space="0" w:shadow="0" w:frame="0" w:color="000000"/>
          <w:left w:val="none" w:sz="4" w:space="0" w:shadow="0" w:frame="0" w:color="000000"/>
          <w:bottom w:val="none" w:sz="4" w:space="0" w:shadow="0" w:frame="0" w:color="000000"/>
          <w:right w:val="none" w:sz="4" w:space="0" w:shadow="0" w:frame="0" w:color="000000"/>
        </w:tblBorders>
        <w:tblLook w:val="04A0"/>
      </w:tblPr>
      <w:tblGrid/>
      <w:tr>
        <w:tc>
          <w:tcPr>
            <w:tcW w:w="2500" w:type="pct"/>
            <w:tcBorders>
              <w:righ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both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</w:p>
        </w:tc>
        <w:tc>
          <w:tcPr>
            <w:tcW w:w="2500" w:type="pct"/>
            <w:tcBorders>
              <w:left w:val="none" w:sz="4" w:space="0" w:shadow="0" w:frame="0" w:color="000000"/>
            </w:tcBorders>
            <w:vAlign w:val="top"/>
          </w:tcPr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SIGNATURE_0_1_FUNCTION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Przewodniczący Rady Miejskiej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 </w:t>
            </w:r>
          </w:p>
          <w:p>
            <w:pPr>
              <w:keepNext w:val="0"/>
              <w:keepLines w:val="0"/>
              <w:spacing w:lineRule="auto" w:line="240" w:before="120" w:after="120" w:beforeAutospacing="0" w:afterAutospacing="0"/>
              <w:ind w:firstLine="0" w:left="0" w:right="0"/>
              <w:jc w:val="center"/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</w:pP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SIGNATURE_0_1_FIRSTNAME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 xml:space="preserve">Artur 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begin"/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instrText>SIGNATURE_0_1_LASTNAME</w:instrTex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separate"/>
            </w:r>
            <w:r>
              <w:rPr>
                <w:rFonts w:ascii="Times New Roman" w:hAnsi="Times New Roman"/>
                <w:b w:val="1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t>Juhnke</w:t>
            </w:r>
            <w:r>
              <w:rPr>
                <w:rFonts w:ascii="Times New Roman" w:hAnsi="Times New Roman"/>
                <w:b w:val="0"/>
                <w:i w:val="0"/>
                <w:caps w:val="0"/>
                <w:strike w:val="0"/>
                <w:color w:val="000000"/>
                <w:sz w:val="22"/>
                <w:u w:val="none" w:color="000000"/>
                <w:vertAlign w:val="baseline"/>
              </w:rPr>
              <w:fldChar w:fldCharType="end"/>
            </w:r>
          </w:p>
        </w:tc>
      </w:tr>
    </w:tbl>
    <w:p>
      <w:pPr>
        <w:keepNext w:val="0"/>
        <w:keepLines w:val="0"/>
        <w:spacing w:lineRule="auto" w:line="240" w:before="120" w:after="120" w:beforeAutospacing="0" w:afterAutospacing="0"/>
        <w:ind w:firstLine="227" w:left="0" w:right="0"/>
        <w:jc w:val="both"/>
        <w:rPr>
          <w:rFonts w:ascii="Times New Roman" w:hAnsi="Times New Roman"/>
          <w:b w:val="0"/>
          <w:i w:val="0"/>
          <w:caps w:val="0"/>
          <w:strike w:val="0"/>
          <w:color w:val="000000"/>
          <w:sz w:val="22"/>
          <w:u w:val="none" w:color="000000"/>
          <w:vertAlign w:val="baseline"/>
        </w:rPr>
      </w:pPr>
    </w:p>
    <w:sectPr>
      <w:endnotePr>
        <w:numFmt w:val="decimal"/>
      </w:endnotePr>
      <w:type w:val="nextPage"/>
      <w:pgSz w:w="11906" w:h="16838" w:code="0"/>
      <w:pgMar w:left="1020" w:right="1020" w:top="1417" w:bottom="992" w:header="708" w:footer="708" w:gutter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0"/>
  <w:defaultTabStop w:val="720"/>
  <w:autoHyphenation w:val="0"/>
  <w:evenAndOddHeaders w:val="0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b w:val="0"/>
        <w:i w:val="0"/>
        <w:caps w:val="0"/>
        <w:strike w:val="0"/>
        <w:noProof w:val="0"/>
        <w:vanish w:val="0"/>
        <w:color w:val="auto"/>
        <w:sz w:val="20"/>
        <w:u w:val="none"/>
        <w:shd w:val="clear" w:color="auto" w:fill="auto"/>
        <w:vertAlign w:val="baseline"/>
        <w:lang w:val="pl-PL" w:bidi="pl-PL" w:eastAsia="pl-PL"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  <w:qFormat/>
    <w:pPr>
      <w:jc w:val="both"/>
    </w:pPr>
    <w:rPr>
      <w:rFonts w:ascii="Times New Roman" w:hAnsi="Times New Roman"/>
      <w:sz w:val="22"/>
      <w:lang w:val="pl-PL" w:bidi="pl-PL" w:eastAsia="pl-PL"/>
    </w:rPr>
  </w:style>
  <w:style w:type="character" w:styleId="C0" w:default="1">
    <w:name w:val="Default Paragraph Font"/>
    <w:semiHidden/>
    <w:rPr/>
  </w:style>
  <w:style w:type="character" w:styleId="C1">
    <w:name w:val="Line Number"/>
    <w:basedOn w:val="C0"/>
    <w:semiHidden/>
    <w:rPr/>
  </w:style>
  <w:style w:type="character" w:styleId="C2">
    <w:name w:val="Hyperlink"/>
    <w:rPr>
      <w:color w:val="0000FF"/>
      <w:u w:val="single"/>
    </w:rPr>
  </w:style>
  <w:style w:type="table" w:styleId="T0" w:default="1">
    <w:name w:val="Normal Table"/>
    <w:semiHidden/>
    <w:rPr>
      <w:lang w:val="pl-PL" w:bidi="pl-PL" w:eastAsia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  <w:trPr/>
    <w:tcPr/>
  </w:style>
  <w:style w:type="numbering" w:styleId="N0">
    <w:name w:val="No List"/>
  </w:style>
</w:styles>
</file>

<file path=word/_rels/document.xml.rels>&#65279;<?xml version="1.0" encoding="utf-8"?><Relationships xmlns="http://schemas.openxmlformats.org/package/2006/relationships"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Relationship Id="RelTheme1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category>Akt prawny</cp:category>
  <dc:creator>E.Hoppe</dc:creator>
  <dcterms:created xsi:type="dcterms:W3CDTF">2026-08-18T11:10:04Z</dcterms:created>
  <cp:lastModifiedBy>UMSK\M.Frosina</cp:lastModifiedBy>
  <dcterms:modified xsi:type="dcterms:W3CDTF">2026-10-30T07:05:53Z</dcterms:modified>
  <cp:revision>23</cp:revision>
  <dc:subject>w sprawie ustanowienia użytku ekologicznego "Trzcinowiska II"</dc:subject>
  <dc:title>Uchwała z dnia 17 sierpnia 2026 r.</dc:title>
</cp:coreProperties>
</file>