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BE4EF7A" Type="http://schemas.openxmlformats.org/officeDocument/2006/relationships/officeDocument" Target="/word/document.xml" /><Relationship Id="coreR5BE4EF7A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Nieruchomość przeznaczona do sprzedaży stanowi mienie komunalne Gminy Sępólno Krajeńskie. Zgodnie z art. 18 ust. 2 pkt 9 lit. a ustawy o samorządzie gminnym, do wyłącznej właściwości Rady Miejskiej należy między innymi podejmowanie uchwał w sprawach majątkowych gminy, dotyczących sprzedaży nieruchomości stanowiących własność gminy. Zgodnie z art. 13 ust. 1 ustawy o gospodarce nieruchomościami, nieruchomość będąca własnością gminy może być przedmiotem sprzedaży.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Działka nr 142/1 nie jest objęta obowiązującym miejscowym planem zagospodarowania przestrzennego. Zgodnie z Planem Ogólnym Gminy Sępólno Krajeńskie, przyjętym Uchwałą Nr X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X</w:t>
      </w:r>
      <w:r>
        <w:rPr>
          <w:rFonts w:ascii="Times New Roman" w:hAnsi="Times New Roman"/>
          <w:b w:val="0"/>
          <w:caps w:val="0"/>
          <w:sz w:val="22"/>
        </w:rPr>
        <w:t>VIII/219/2026 Rady Miejskiej w Sępólnie Krajeńskim z dnia 24 czerwca 2026 r., przedmiotowa nieruchomość położona jest w strefie otwartej, oznaczonej symbolem 3SO.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Projekt uchwały został pozytywnie zaopiniowany przez Komisję Gospodarki Komunalnej oraz Porządku Publicznego Rady Miejskiej w Sępólnie Krajeńskim.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2026-01-13T12:54:45Z</dcterms:created>
  <cp:lastModifiedBy>UMSK\M.Frosina</cp:lastModifiedBy>
  <dcterms:modified xsi:type="dcterms:W3CDTF">2026-10-30T07:03:56Z</dcterms:modified>
  <cp:revision>45</cp:revision>
  <dc:subject>w sprawie sprzedaży nieruchomości gruntowej nr 1086/4 położonej przy ul. Targowej w Sępólnie Krajeńskim</dc:subject>
  <dc:title>Uchwała nr  XXIII/.../2026 z dnia 28 stycznia 2026 r.</dc:title>
</cp:coreProperties>
</file>