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theme/theme1.xml" ContentType="application/vnd.openxmlformats-officedocument.theme+xml"/>
</Types>
</file>

<file path=_rels/.rels>&#65279;<?xml version="1.0" encoding="utf-8"?><Relationships xmlns="http://schemas.openxmlformats.org/package/2006/relationships"><Relationship Id="R8592D81" Type="http://schemas.openxmlformats.org/officeDocument/2006/relationships/officeDocument" Target="/word/document.xml" /><Relationship Id="coreR8592D81"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
      <w:pPr>
        <w:keepNext w:val="0"/>
        <w:keepLines w:val="0"/>
        <w:ind w:firstLine="0" w:left="0" w:right="0"/>
        <w:jc w:val="center"/>
        <w:rPr>
          <w:rFonts w:ascii="Times New Roman" w:hAnsi="Times New Roman"/>
          <w:sz w:val="22"/>
        </w:rPr>
      </w:pPr>
      <w:r>
        <w:rPr>
          <w:rFonts w:ascii="Times New Roman" w:hAnsi="Times New Roman"/>
          <w:b w:val="1"/>
          <w:caps w:val="0"/>
          <w:sz w:val="22"/>
        </w:rPr>
        <w:t>Uzasadnienie</w:t>
      </w:r>
    </w:p>
    <w:p>
      <w:pPr>
        <w:keepNext w:val="0"/>
        <w:keepLines w:val="0"/>
        <w:spacing w:lineRule="auto" w:line="240" w:before="120" w:after="120" w:beforeAutospacing="0" w:afterAutospacing="0"/>
        <w:ind w:firstLine="227" w:left="0" w:right="0"/>
        <w:jc w:val="both"/>
        <w:rPr>
          <w:rFonts w:ascii="Times New Roman" w:hAnsi="Times New Roman"/>
          <w:b w:val="0"/>
          <w:caps w:val="0"/>
          <w:sz w:val="22"/>
        </w:rPr>
      </w:pPr>
      <w:r>
        <w:rPr>
          <w:rFonts w:ascii="Times New Roman" w:hAnsi="Times New Roman"/>
          <w:b w:val="0"/>
          <w:caps w:val="0"/>
          <w:sz w:val="22"/>
        </w:rPr>
        <w:t xml:space="preserve">Zgodnie z art. 40 ust. 1 ustawy z dnia 16 kwietnia 2004 r. o ochronie przyrody (Dz. U. z 2026 r., poz. 13), pomnikami przyrody są pojedyncze twory przyrody żywej i nieożywionej lub ich skupiska o szczególnej wartości przyrodniczej, naukowej, kulturowej, historycznej lub krajobrazowej oraz odznaczające się indywidualnymi cechami, wyróżniającymi je wśród innych tworów, okazałych rozmiarów drzewa, krzewy gatunków rodzimych lub obcych, źródła, wodospady, wywierzyska, skałki, jary, głazy narzutowe oraz jaskinie.  Niniejsze formy ochrony przyrody zostały ustanowione w latach 1955-1996, różnymi aktami prawnymi. Celem niniejszej uchwały jest dostosowanie aktu prawa miejscowego do obecnego stanu prawnego.  Zgodnie z art. 35 ust. 1 ustawy z dnia 23 stycznia 2009 r. o zmianie niektórych ustaw w związku ze zmianami w organizacji i podziale zadań administracji publicznej w województwie (Dz. U. z 2009 r. Nr 92, poz. 753, Nr 99, poz. 826, z 2011 r. Nr 291, poz. 1707 i z 2016 r. poz. 2260), z dniem wejścia w życie niniejszej uchwały, wymienione akty prawne, wydane przed dniem 1 sierpnia 2012 r. tracą moc. Kompetencje w zakresie m.in. pomników przyrody zostały przekazane właściwej miejscowo radzie gminy, a nadzór nad pomnikami przyrody sprawuje burmistrz.</w:t>
      </w:r>
    </w:p>
    <w:p>
      <w:pPr>
        <w:keepNext w:val="0"/>
        <w:keepLines w:val="0"/>
        <w:spacing w:lineRule="auto" w:line="240" w:before="120" w:after="120" w:beforeAutospacing="0" w:afterAutospacing="0"/>
        <w:ind w:firstLine="227" w:left="0" w:right="0"/>
        <w:jc w:val="both"/>
        <w:rPr>
          <w:rFonts w:ascii="Times New Roman" w:hAnsi="Times New Roman"/>
          <w:b w:val="0"/>
          <w:caps w:val="0"/>
          <w:sz w:val="22"/>
        </w:rPr>
      </w:pPr>
      <w:r>
        <w:rPr>
          <w:rFonts w:ascii="Times New Roman" w:hAnsi="Times New Roman"/>
          <w:b w:val="0"/>
          <w:caps w:val="0"/>
          <w:sz w:val="22"/>
        </w:rPr>
        <w:t>W związku z dokonaniem inwentaryzacji pomników przyrody na terenie Gminy Sępólno Krajeńskie, w tym: danych dotyczących gatunków drzew, wymiarów i ich lokalizacji, zachodzi konieczność aktualizacji aktów prawnych.</w:t>
      </w:r>
    </w:p>
    <w:p>
      <w:pPr>
        <w:keepNext w:val="0"/>
        <w:keepLines w:val="0"/>
        <w:spacing w:lineRule="auto" w:line="240" w:before="120" w:after="120" w:beforeAutospacing="0" w:afterAutospacing="0"/>
        <w:ind w:firstLine="227" w:left="0" w:right="0"/>
        <w:jc w:val="both"/>
        <w:rPr>
          <w:rFonts w:ascii="Times New Roman" w:hAnsi="Times New Roman"/>
          <w:b w:val="0"/>
          <w:caps w:val="0"/>
          <w:sz w:val="22"/>
        </w:rPr>
      </w:pPr>
      <w:r>
        <w:rPr>
          <w:rFonts w:ascii="Times New Roman" w:hAnsi="Times New Roman"/>
          <w:b w:val="0"/>
          <w:caps w:val="0"/>
          <w:sz w:val="22"/>
        </w:rPr>
        <w:t>Zmiana gatunku drzewa wskazanego w poz. 90 załącznika nr 1 (z Quercus petraea na Fagus sylvatica var. Purpurea) wynika z korekty danych botanicznych i historycznych, mających na celu odzwierciedlenie faktycznego gatunku rosnącego drzewa.</w:t>
      </w:r>
    </w:p>
    <w:p>
      <w:pPr>
        <w:keepNext w:val="0"/>
        <w:keepLines w:val="0"/>
        <w:spacing w:lineRule="auto" w:line="240" w:before="120" w:after="120" w:beforeAutospacing="0" w:afterAutospacing="0"/>
        <w:ind w:firstLine="227" w:left="0" w:right="0"/>
        <w:jc w:val="both"/>
        <w:rPr>
          <w:rFonts w:ascii="Times New Roman" w:hAnsi="Times New Roman"/>
          <w:b w:val="0"/>
          <w:caps w:val="0"/>
          <w:sz w:val="22"/>
        </w:rPr>
      </w:pPr>
      <w:r>
        <w:rPr>
          <w:rFonts w:ascii="Times New Roman" w:hAnsi="Times New Roman"/>
          <w:b w:val="0"/>
          <w:caps w:val="0"/>
          <w:sz w:val="22"/>
        </w:rPr>
        <w:t>Pomnik przyrody wskazany w poz. 86 załącznika nr 1 otrzymuje nazwę „Dziupla leśnego Ducha”. Nadanie nazwy ma na celu podkreślenie wartości edukacyjnych i krajobrazowych drzewa oraz jego znaczenia w lokalnym środowisku naturalnym.</w:t>
      </w:r>
    </w:p>
    <w:p>
      <w:pPr>
        <w:keepNext w:val="0"/>
        <w:keepLines w:val="0"/>
        <w:spacing w:lineRule="auto" w:line="240" w:before="120" w:after="120" w:beforeAutospacing="0" w:afterAutospacing="0"/>
        <w:ind w:firstLine="227" w:left="0" w:right="0"/>
        <w:jc w:val="both"/>
        <w:rPr>
          <w:rFonts w:ascii="Times New Roman" w:hAnsi="Times New Roman"/>
          <w:b w:val="0"/>
          <w:caps w:val="0"/>
          <w:sz w:val="22"/>
        </w:rPr>
      </w:pPr>
      <w:r>
        <w:rPr>
          <w:rFonts w:ascii="Times New Roman" w:hAnsi="Times New Roman"/>
          <w:b w:val="0"/>
          <w:caps w:val="0"/>
          <w:sz w:val="22"/>
        </w:rPr>
        <w:t>Utworzenie nowych pomników przyrody wskazanych w §1 ust. 2 uchwały (poz. 69, 80, 88, 89 załącznika nr 1) ma na celu zachowanie cennych wartości przyrodniczych i krajobrazowych</w:t>
        <w:br w:type="textWrapping"/>
        <w:t>na terenie Gminy Sępólno Krajeńskie. Nowe pomniki obejmują drzewa dorodne, długowieczne i reprezentatywne dla lokalnego krajobrazu gatunki (Quercus petraea, Quercus robur, Tilia cordata), oraz posiadające wysoką wartość edukacyjną i krajobrazową.</w:t>
      </w:r>
    </w:p>
    <w:p>
      <w:pPr>
        <w:keepNext w:val="0"/>
        <w:keepLines w:val="0"/>
        <w:spacing w:lineRule="auto" w:line="240" w:before="120" w:after="120" w:beforeAutospacing="0" w:afterAutospacing="0"/>
        <w:ind w:firstLine="227" w:left="0" w:right="0"/>
        <w:jc w:val="both"/>
        <w:rPr>
          <w:rFonts w:ascii="Times New Roman" w:hAnsi="Times New Roman"/>
          <w:b w:val="0"/>
          <w:caps w:val="0"/>
          <w:sz w:val="22"/>
        </w:rPr>
      </w:pPr>
      <w:r>
        <w:rPr>
          <w:rFonts w:ascii="Times New Roman" w:hAnsi="Times New Roman"/>
          <w:b w:val="0"/>
          <w:caps w:val="0"/>
          <w:sz w:val="22"/>
        </w:rPr>
        <w:t>Stosownie do art. 44 ust. 2 ustawy o ochronie przyrody, niniejsza uchwała określa: nazwę danego obiektu, jego położenie, sprawującego nadzór, szczególne cele ochrony, w razie potrzeby ustalenia dotyczące jego czynnej ochrony oraz zakazy dla pomników przyrody, wybrane spośród zakazów wymienionych w art. 45 ust. 1 ustawy.</w:t>
      </w:r>
    </w:p>
    <w:p>
      <w:pPr>
        <w:keepNext w:val="0"/>
        <w:keepLines w:val="0"/>
        <w:spacing w:lineRule="auto" w:line="240" w:before="120" w:after="120" w:beforeAutospacing="0" w:afterAutospacing="0"/>
        <w:ind w:firstLine="227" w:left="0" w:right="0"/>
        <w:jc w:val="both"/>
        <w:rPr>
          <w:rFonts w:ascii="Times New Roman" w:hAnsi="Times New Roman"/>
          <w:b w:val="0"/>
          <w:caps w:val="0"/>
          <w:sz w:val="22"/>
        </w:rPr>
      </w:pPr>
      <w:r>
        <w:rPr>
          <w:rFonts w:ascii="Times New Roman" w:hAnsi="Times New Roman"/>
          <w:b w:val="0"/>
          <w:caps w:val="0"/>
          <w:sz w:val="22"/>
        </w:rPr>
        <w:t>Projekt niniejszej uchwały został pozytywnie zaopiniowany przez Komisje Rolnictwa, Leśnictwa</w:t>
        <w:br w:type="textWrapping"/>
        <w:t>i Ochrony Środowiska Rady Miejskiej w Sępólnie Krajeńskim oraz uzgodniony z Regionalnym Dyrektorem Ochrony Środowiska w Bydgoszczy.</w:t>
      </w:r>
    </w:p>
    <w:p>
      <w:pPr>
        <w:keepNext w:val="1"/>
        <w:keepLines w:val="1"/>
        <w:spacing w:lineRule="auto" w:line="240" w:before="120" w:after="120" w:beforeAutospacing="0" w:afterAutospacing="0"/>
        <w:ind w:firstLine="227" w:left="0" w:right="0"/>
        <w:jc w:val="both"/>
        <w:rPr>
          <w:rFonts w:ascii="Times New Roman" w:hAnsi="Times New Roman"/>
          <w:b w:val="0"/>
          <w:caps w:val="0"/>
          <w:sz w:val="22"/>
        </w:rPr>
      </w:pPr>
      <w:r>
        <w:rPr>
          <w:rFonts w:ascii="Times New Roman" w:hAnsi="Times New Roman"/>
          <w:b w:val="0"/>
          <w:caps w:val="0"/>
          <w:sz w:val="22"/>
        </w:rPr>
        <w:t>Wobec powyższego, podjęcie uchwały jest uzasadnione.</w:t>
      </w:r>
    </w:p>
    <w:p>
      <w:pPr>
        <w:keepNext w:val="1"/>
        <w:spacing w:before="0" w:after="0" w:beforeAutospacing="0" w:afterAutospacing="0"/>
        <w:rPr>
          <w:rFonts w:ascii="Times New Roman" w:hAnsi="Times New Roman"/>
          <w:b w:val="0"/>
          <w:i w:val="0"/>
          <w:caps w:val="0"/>
          <w:sz w:val="22"/>
          <w:u w:val="none"/>
          <w:vertAlign w:val="baseline"/>
        </w:rPr>
      </w:pPr>
      <w:r>
        <w:rPr>
          <w:b w:val="0"/>
          <w:i w:val="0"/>
          <w:color w:val="000000"/>
          <w:u w:val="none"/>
          <w:vertAlign w:val="baseline"/>
        </w:rPr>
        <w:t> </w:t>
      </w:r>
    </w:p>
    <w:tbl>
      <w:tblPr>
        <w:tblLayout w:type="fixed"/>
        <w:tblCellMar>
          <w:top w:w="0" w:type="dxa"/>
          <w:left w:w="0" w:type="dxa"/>
          <w:bottom w:w="0" w:type="dxa"/>
          <w:right w:w="0" w:type="dxa"/>
        </w:tblCellMar>
      </w:tblPr>
      <w:tblGrid/>
      <w:tr>
        <w:tblPrEx>
          <w:tblW w:w="5000" w:type="pct"/>
        </w:tblPrEx>
        <w:tc>
          <w:tcPr>
            <w:tcW w:w="4935" w:type="dxa"/>
            <w:noWrap w:val="0"/>
            <w:tcMar>
              <w:top w:w="0" w:type="dxa"/>
              <w:left w:w="0" w:type="dxa"/>
              <w:bottom w:w="0" w:type="dxa"/>
              <w:right w:w="0" w:type="dxa"/>
            </w:tcMar>
            <w:vAlign w:val="top"/>
            <w:hideMark/>
          </w:tcPr>
          <w:p>
            <w:pPr>
              <w:jc w:val="left"/>
              <w:rPr>
                <w:rFonts w:ascii="Times New Roman" w:hAnsi="Times New Roman"/>
                <w:b w:val="0"/>
                <w:i w:val="0"/>
                <w:color w:val="000000"/>
                <w:sz w:val="22"/>
              </w:rPr>
            </w:pPr>
          </w:p>
        </w:tc>
        <w:tc>
          <w:tcPr>
            <w:tcW w:w="4935" w:type="dxa"/>
            <w:noWrap w:val="0"/>
            <w:tcMar>
              <w:top w:w="0" w:type="dxa"/>
              <w:left w:w="0" w:type="dxa"/>
              <w:bottom w:w="0" w:type="dxa"/>
              <w:right w:w="0" w:type="dxa"/>
            </w:tcMar>
            <w:vAlign w:val="top"/>
            <w:hideMark/>
          </w:tcPr>
          <w:p>
            <w:pPr>
              <w:keepNext w:val="1"/>
              <w:keepLines w:val="1"/>
              <w:spacing w:before="560" w:after="560" w:beforeAutospacing="0" w:afterAutospacing="0"/>
              <w:ind w:firstLine="0" w:left="1134" w:right="1134"/>
              <w:jc w:val="center"/>
              <w:rPr>
                <w:rFonts w:ascii="Times New Roman" w:hAnsi="Times New Roman"/>
                <w:b w:val="1"/>
                <w:i w:val="0"/>
                <w:color w:val="000000"/>
                <w:sz w:val="22"/>
              </w:rPr>
            </w:pPr>
            <w:r>
              <w:rPr>
                <w:rFonts w:ascii="Times New Roman" w:hAnsi="Times New Roman"/>
                <w:b w:val="0"/>
                <w:i w:val="0"/>
                <w:color w:val="000000"/>
                <w:sz w:val="22"/>
              </w:rPr>
              <w:fldChar w:fldCharType="begin"/>
            </w:r>
            <w:r>
              <w:rPr>
                <w:rFonts w:ascii="Times New Roman" w:hAnsi="Times New Roman"/>
                <w:b w:val="0"/>
                <w:i w:val="0"/>
                <w:color w:val="000000"/>
                <w:sz w:val="22"/>
              </w:rPr>
              <w:instrText>MERGEFIELD SIGNATURE_0_0__FUNCTION \* MERGEFORMAT</w:instrText>
            </w:r>
            <w:r>
              <w:rPr>
                <w:rFonts w:ascii="Times New Roman" w:hAnsi="Times New Roman"/>
                <w:b w:val="0"/>
                <w:i w:val="0"/>
                <w:color w:val="000000"/>
                <w:sz w:val="22"/>
              </w:rPr>
              <w:fldChar w:fldCharType="separate"/>
            </w:r>
            <w:r>
              <w:rPr>
                <w:rFonts w:ascii="Times New Roman" w:hAnsi="Times New Roman"/>
                <w:b w:val="0"/>
                <w:i w:val="0"/>
                <w:color w:val="000000"/>
                <w:sz w:val="22"/>
              </w:rPr>
              <w:t>Przewodniczący Rady Miejskiej</w:t>
            </w:r>
            <w:r>
              <w:rPr>
                <w:rFonts w:ascii="Times New Roman" w:hAnsi="Times New Roman"/>
                <w:b w:val="0"/>
                <w:i w:val="0"/>
                <w:color w:val="000000"/>
                <w:sz w:val="22"/>
              </w:rPr>
              <w:fldChar w:fldCharType="end"/>
            </w:r>
            <w:r>
              <w:rPr>
                <w:rFonts w:ascii="Times New Roman" w:hAnsi="Times New Roman"/>
                <w:b w:val="0"/>
                <w:i w:val="0"/>
                <w:color w:val="000000"/>
                <w:sz w:val="22"/>
              </w:rPr>
              <w:br w:type="textWrapping"/>
              <w:br w:type="textWrapping"/>
              <w:br w:type="textWrapping"/>
            </w:r>
            <w:r>
              <w:rPr>
                <w:rFonts w:ascii="Times New Roman" w:hAnsi="Times New Roman"/>
                <w:b w:val="1"/>
                <w:i w:val="0"/>
                <w:color w:val="000000"/>
                <w:sz w:val="22"/>
              </w:rPr>
              <w:fldChar w:fldCharType="begin"/>
            </w:r>
            <w:r>
              <w:rPr>
                <w:rFonts w:ascii="Times New Roman" w:hAnsi="Times New Roman"/>
                <w:b w:val="1"/>
                <w:i w:val="0"/>
                <w:color w:val="000000"/>
                <w:sz w:val="22"/>
              </w:rPr>
              <w:instrText>MERGEFIELD SIGNATURE_0_0_FIRSTNAME \* MERGEFORMAT</w:instrText>
            </w:r>
            <w:r>
              <w:rPr>
                <w:rFonts w:ascii="Times New Roman" w:hAnsi="Times New Roman"/>
                <w:b w:val="1"/>
                <w:i w:val="0"/>
                <w:color w:val="000000"/>
                <w:sz w:val="22"/>
              </w:rPr>
              <w:fldChar w:fldCharType="separate"/>
            </w:r>
            <w:r>
              <w:rPr>
                <w:rFonts w:ascii="Times New Roman" w:hAnsi="Times New Roman"/>
                <w:b w:val="1"/>
                <w:i w:val="0"/>
                <w:color w:val="000000"/>
                <w:sz w:val="22"/>
              </w:rPr>
              <w:t>Artur</w:t>
            </w:r>
            <w:r>
              <w:rPr>
                <w:rFonts w:ascii="Times New Roman" w:hAnsi="Times New Roman"/>
                <w:b w:val="1"/>
                <w:i w:val="0"/>
                <w:color w:val="000000"/>
                <w:sz w:val="22"/>
              </w:rPr>
              <w:fldChar w:fldCharType="end"/>
            </w:r>
            <w:r>
              <w:rPr>
                <w:rFonts w:ascii="Times New Roman" w:hAnsi="Times New Roman"/>
                <w:b w:val="1"/>
                <w:i w:val="0"/>
                <w:color w:val="000000"/>
                <w:sz w:val="22"/>
              </w:rPr>
              <w:t> </w:t>
            </w:r>
            <w:r>
              <w:rPr>
                <w:rFonts w:ascii="Times New Roman" w:hAnsi="Times New Roman"/>
                <w:b w:val="1"/>
                <w:i w:val="0"/>
                <w:color w:val="000000"/>
                <w:sz w:val="22"/>
              </w:rPr>
              <w:fldChar w:fldCharType="begin"/>
            </w:r>
            <w:r>
              <w:rPr>
                <w:rFonts w:ascii="Times New Roman" w:hAnsi="Times New Roman"/>
                <w:b w:val="1"/>
                <w:i w:val="0"/>
                <w:color w:val="000000"/>
                <w:sz w:val="22"/>
              </w:rPr>
              <w:instrText>MERGEFIELD SIGNATURE_0_0_LASTNAME \* MERGEFORMAT</w:instrText>
            </w:r>
            <w:r>
              <w:rPr>
                <w:rFonts w:ascii="Times New Roman" w:hAnsi="Times New Roman"/>
                <w:b w:val="1"/>
                <w:i w:val="0"/>
                <w:color w:val="000000"/>
                <w:sz w:val="22"/>
              </w:rPr>
              <w:fldChar w:fldCharType="separate"/>
            </w:r>
            <w:r>
              <w:rPr>
                <w:rFonts w:ascii="Times New Roman" w:hAnsi="Times New Roman"/>
                <w:b w:val="1"/>
                <w:i w:val="0"/>
                <w:color w:val="000000"/>
                <w:sz w:val="22"/>
              </w:rPr>
              <w:t>Juhnke</w:t>
            </w:r>
            <w:r>
              <w:rPr>
                <w:rFonts w:ascii="Times New Roman" w:hAnsi="Times New Roman"/>
                <w:b w:val="1"/>
                <w:i w:val="0"/>
                <w:color w:val="000000"/>
                <w:sz w:val="22"/>
              </w:rPr>
              <w:fldChar w:fldCharType="end"/>
            </w:r>
            <w:r>
              <w:rPr>
                <w:rFonts w:ascii="Times New Roman" w:hAnsi="Times New Roman"/>
                <w:b w:val="1"/>
                <w:i w:val="0"/>
                <w:color w:val="000000"/>
                <w:sz w:val="22"/>
              </w:rPr>
              <w:t> </w:t>
            </w:r>
          </w:p>
        </w:tc>
      </w:tr>
    </w:tbl>
    <w:p>
      <w:pPr>
        <w:keepNext w:val="1"/>
        <w:spacing w:before="0" w:after="0" w:beforeAutospacing="0" w:afterAutospacing="0"/>
        <w:rPr>
          <w:rFonts w:ascii="Times New Roman" w:hAnsi="Times New Roman"/>
          <w:b w:val="0"/>
          <w:i w:val="0"/>
          <w:caps w:val="0"/>
          <w:sz w:val="22"/>
          <w:u w:val="none"/>
          <w:vertAlign w:val="baseline"/>
        </w:rPr>
      </w:pPr>
    </w:p>
    <w:sectPr>
      <w:endnotePr>
        <w:numFmt w:val="decimal"/>
      </w:endnotePr>
      <w:type w:val="nextPage"/>
      <w:pgSz w:w="11906" w:h="16838" w:code="0"/>
      <w:pgMar w:left="1020" w:right="1020" w:top="1417" w:bottom="992" w:header="708" w:footer="708" w:gutter="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0"/>
  <w:defaultTabStop w:val="720"/>
  <w:autoHyphenation w:val="0"/>
  <w:evenAndOddHeaders w:val="0"/>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b w:val="0"/>
        <w:i w:val="0"/>
        <w:caps w:val="0"/>
        <w:strike w:val="0"/>
        <w:noProof w:val="0"/>
        <w:vanish w:val="0"/>
        <w:color w:val="auto"/>
        <w:sz w:val="20"/>
        <w:u w:val="none"/>
        <w:shd w:val="clear" w:color="auto" w:fill="auto"/>
        <w:vertAlign w:val="baseline"/>
        <w:lang w:val="pl-PL" w:bidi="pl-PL" w:eastAsia="pl-PL"/>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qFormat/>
    <w:pPr>
      <w:jc w:val="both"/>
    </w:pPr>
    <w:rPr>
      <w:rFonts w:ascii="Times New Roman" w:hAnsi="Times New Roman"/>
      <w:sz w:val="22"/>
      <w:lang w:val="pl-PL" w:bidi="pl-PL" w:eastAsia="pl-PL"/>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semiHidden/>
    <w:rPr>
      <w:lang w:val="pl-PL" w:bidi="pl-PL" w:eastAsia="pl-PL"/>
    </w:rPr>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numbering" w:styleId="N0">
    <w:name w:val="No List"/>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category>Akt prawny</cp:category>
  <dc:creator>E.Hoppe</dc:creator>
  <dcterms:created xsi:type="dcterms:W3CDTF">2026-08-26T13:44:59Z</dcterms:created>
  <cp:lastModifiedBy>UMSK\M.Frosina</cp:lastModifiedBy>
  <dcterms:modified xsi:type="dcterms:W3CDTF">2026-08-28T10:37:46Z</dcterms:modified>
  <cp:revision>10</cp:revision>
  <dc:subject>w sprawie pomników przyrody znajdujących się na terenie Gminy Sępólno Krajeńskie</dc:subject>
  <dc:title>Uchwała nr  XXX/230/2026 z dnia 26 sierpnia 2026 r.</dc:title>
</cp:coreProperties>
</file>