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7AC1A701" Type="http://schemas.openxmlformats.org/officeDocument/2006/relationships/officeDocument" Target="/word/document.xml" /><Relationship Id="coreR7AC1A701" Type="http://schemas.openxmlformats.org/package/2006/relationships/metadata/core-properties" Target="/docProps/core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/>
    <w:p>
      <w:pPr>
        <w:keepNext w:val="0"/>
        <w:keepLines w:val="0"/>
        <w:ind w:firstLine="0" w:left="0" w:right="0"/>
        <w:jc w:val="center"/>
        <w:rPr>
          <w:rFonts w:ascii="Times New Roman" w:hAnsi="Times New Roman"/>
          <w:sz w:val="22"/>
        </w:rPr>
      </w:pPr>
      <w:r>
        <w:rPr>
          <w:rFonts w:ascii="Times New Roman" w:hAnsi="Times New Roman"/>
          <w:b w:val="1"/>
          <w:caps w:val="0"/>
          <w:sz w:val="22"/>
        </w:rPr>
        <w:t>Uzasadnienie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caps w:val="0"/>
          <w:sz w:val="22"/>
        </w:rPr>
      </w:pPr>
      <w:r>
        <w:rPr>
          <w:rFonts w:ascii="Times New Roman" w:hAnsi="Times New Roman"/>
          <w:b w:val="0"/>
          <w:caps w:val="0"/>
          <w:sz w:val="22"/>
        </w:rPr>
        <w:t>Zgodnie z art. 44 ust. 3 ustawy z dnia 16 kwietnia 2004 r. o ochronie przyrody (Dz. U. z 202</w:t>
      </w:r>
      <w:r>
        <w:rPr>
          <w:rFonts w:ascii="Times New Roman" w:hAnsi="Times New Roman"/>
          <w:b w:val="0"/>
          <w:caps w:val="0"/>
          <w:sz w:val="22"/>
          <w:lang w:val="pl-PL" w:bidi="pl-PL" w:eastAsia="pl-PL"/>
        </w:rPr>
        <w:t xml:space="preserve">6 </w:t>
      </w:r>
      <w:r>
        <w:rPr>
          <w:rFonts w:ascii="Times New Roman" w:hAnsi="Times New Roman"/>
          <w:b w:val="0"/>
          <w:caps w:val="0"/>
          <w:sz w:val="22"/>
        </w:rPr>
        <w:t>r.</w:t>
      </w:r>
      <w:r>
        <w:rPr>
          <w:rFonts w:ascii="Times New Roman" w:hAnsi="Times New Roman"/>
          <w:b w:val="0"/>
          <w:caps w:val="0"/>
          <w:sz w:val="22"/>
          <w:lang w:val="pl-PL" w:bidi="pl-PL" w:eastAsia="pl-PL"/>
        </w:rPr>
        <w:t xml:space="preserve"> </w:t>
      </w:r>
      <w:r>
        <w:rPr>
          <w:rFonts w:ascii="Times New Roman" w:hAnsi="Times New Roman"/>
          <w:b w:val="0"/>
          <w:caps w:val="0"/>
          <w:sz w:val="22"/>
        </w:rPr>
        <w:t>poz. </w:t>
      </w:r>
      <w:r>
        <w:rPr>
          <w:rFonts w:ascii="Times New Roman" w:hAnsi="Times New Roman"/>
          <w:b w:val="0"/>
          <w:caps w:val="0"/>
          <w:sz w:val="22"/>
          <w:lang w:val="pl-PL" w:bidi="pl-PL" w:eastAsia="pl-PL"/>
        </w:rPr>
        <w:t>13</w:t>
      </w:r>
      <w:r>
        <w:rPr>
          <w:rFonts w:ascii="Times New Roman" w:hAnsi="Times New Roman"/>
          <w:b w:val="0"/>
          <w:caps w:val="0"/>
          <w:sz w:val="22"/>
        </w:rPr>
        <w:t>), zniesienie pomnika przyrody następuje w drodze uchwały rady gminy.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caps w:val="0"/>
          <w:sz w:val="22"/>
        </w:rPr>
      </w:pPr>
      <w:r>
        <w:rPr>
          <w:rFonts w:ascii="Times New Roman" w:hAnsi="Times New Roman"/>
          <w:b w:val="0"/>
          <w:caps w:val="0"/>
          <w:sz w:val="22"/>
        </w:rPr>
        <w:t>Stosownie do art. 44 ust. 4 ww. ustawy, zniesienie pomnika przyrody następuje w przypadku utraty wartości przyrodniczych i krajobrazowych, ze względu na które ustanowiono tę formę ochrony przyrody, w razie konieczności realizacji inwestycji celu publicznego przy braku rozwiązań alternatywnych lub w celu zapewnienia bezpieczeństwa powszechnego.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</w:pPr>
      <w:r>
        <w:rPr>
          <w:rFonts w:ascii="Times New Roman" w:hAnsi="Times New Roman"/>
          <w:b w:val="0"/>
          <w:caps w:val="0"/>
          <w:sz w:val="22"/>
        </w:rPr>
        <w:t xml:space="preserve">W 2025 roku przeprowadzono inwentaryzację pomników przyrody na terenie Gminy Sępólno Krajeńskie. </w:t>
      </w:r>
      <w:r>
        <w:t xml:space="preserve">W aktualnym stanie faktycznym przedmiot </w:t>
      </w:r>
      <w:r>
        <w:rPr>
          <w:lang w:val="pl-PL" w:bidi="pl-PL" w:eastAsia="pl-PL"/>
        </w:rPr>
        <w:t xml:space="preserve">ochrony </w:t>
      </w:r>
      <w:r>
        <w:t>wskazany w §1–8, §10–13, §16–17 oraz</w:t>
      </w:r>
      <w:r>
        <w:rPr>
          <w:lang w:val="pl-PL" w:bidi="pl-PL" w:eastAsia="pl-PL"/>
        </w:rPr>
        <w:t xml:space="preserve"> </w:t>
      </w:r>
      <w:r>
        <w:t>§19 uchwały nie występuje w terenie, co zostało potwierdzone w toku przeprowadzonych czynności terenowych. W związku z tym stwierdzono utratę wartości przyrodniczych i krajobrazowych, które stanowiły podstawę ustanowienia pomnika przyrody.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caps w:val="0"/>
          <w:sz w:val="22"/>
        </w:rPr>
      </w:pPr>
      <w:r>
        <w:rPr>
          <w:rFonts w:ascii="Times New Roman" w:hAnsi="Times New Roman"/>
          <w:b w:val="0"/>
          <w:caps w:val="0"/>
          <w:sz w:val="22"/>
        </w:rPr>
        <w:t>W §9 uchwały przewidziano uchylenie zapisu dotyczącego pomnika przyrody oznaczonego numerem 579, ustanowionego Rozporządzeniem Nr 11/91 Wojewody Bydgoskiego, z uwagi na oczywistą omyłkę polegającą na zdublowaniu tego samego obiektu, który został już ustanowiony pomnikiem przyrody w tym samym akcie pod numerem 575.</w:t>
      </w:r>
    </w:p>
    <w:p>
      <w:pPr>
        <w:spacing w:lineRule="auto" w:line="240" w:after="0" w:beforeAutospacing="1" w:afterAutospacing="1"/>
        <w:ind w:firstLine="227"/>
        <w:rPr>
          <w:b w:val="0"/>
        </w:rPr>
      </w:pPr>
      <w:r>
        <w:rPr>
          <w:rFonts w:ascii="Times New Roman" w:hAnsi="Times New Roman"/>
          <w:b w:val="0"/>
          <w:caps w:val="0"/>
          <w:sz w:val="22"/>
        </w:rPr>
        <w:t xml:space="preserve">Zniesienie statusu pomników przyrody wskazanych w §14–15 uchwały następuje z uwagi na utratę </w:t>
      </w:r>
      <w:r>
        <w:rPr>
          <w:rFonts w:ascii="Times New Roman" w:hAnsi="Times New Roman"/>
          <w:b w:val="0"/>
          <w:caps w:val="0"/>
          <w:sz w:val="22"/>
          <w:lang w:val="pl-PL" w:bidi="pl-PL" w:eastAsia="pl-PL"/>
        </w:rPr>
        <w:br w:type="textWrapping"/>
      </w:r>
      <w:r>
        <w:rPr>
          <w:rFonts w:ascii="Times New Roman" w:hAnsi="Times New Roman"/>
          <w:b w:val="0"/>
          <w:caps w:val="0"/>
          <w:sz w:val="22"/>
        </w:rPr>
        <w:t xml:space="preserve">ich wartości przyrodniczych i krajobrazowych. </w:t>
      </w:r>
      <w:r>
        <w:rPr>
          <w:rFonts w:ascii="Times New Roman" w:hAnsi="Times New Roman"/>
          <w:b w:val="0"/>
          <w:caps w:val="0"/>
          <w:sz w:val="22"/>
          <w:lang w:val="pl-PL" w:bidi="pl-PL" w:eastAsia="pl-PL"/>
        </w:rPr>
        <w:t xml:space="preserve">Na podstawie zezwolenia Regionalnego Dyrektora Ochrony Środowiska przeprowadzono badania naukowe na całym obszarze rezerwatu "Buczyna". </w:t>
      </w:r>
      <w:r>
        <w:rPr>
          <w:rFonts w:ascii="Times New Roman CE" w:hAnsi="Times New Roman CE"/>
          <w:b w:val="0"/>
          <w:lang w:val="pl-PL" w:bidi="pl-PL" w:eastAsia="pl-PL"/>
        </w:rPr>
        <w:t>Badania potwierdziły brak drzew o obwodach wskazanych w rozporządzeniu oraz brak śladów mogących świadczyć o ich wcześniejszym występowaniu. Analiza dokumentacji zarządcy terenu oraz dostępnych materiałów archiwalnych również nie potwierdziła istnienia takich drzew</w:t>
      </w:r>
      <w:r>
        <w:rPr>
          <w:rFonts w:ascii="Times New Roman" w:hAnsi="Times New Roman"/>
          <w:b w:val="0"/>
          <w:lang w:val="pl-PL" w:bidi="pl-PL" w:eastAsia="pl-PL"/>
        </w:rPr>
        <w:t xml:space="preserve">. </w:t>
      </w:r>
      <w:r>
        <w:rPr>
          <w:b w:val="0"/>
        </w:rPr>
        <w:t>Tym samym nastąpiła trwała utrata ich wartości przyrodniczych i krajobrazowych stanowiących podstawę objęcia ich ochroną jako pomników przyrody.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b w:val="1"/>
        </w:rPr>
      </w:pPr>
      <w:r>
        <w:rPr>
          <w:rFonts w:ascii="Times New Roman" w:hAnsi="Times New Roman"/>
          <w:b w:val="0"/>
          <w:caps w:val="0"/>
          <w:sz w:val="22"/>
        </w:rPr>
        <w:t xml:space="preserve">Zniesienie statusu pomników przyrody </w:t>
      </w:r>
      <w:r>
        <w:rPr>
          <w:rFonts w:ascii="Times New Roman" w:hAnsi="Times New Roman"/>
          <w:b w:val="0"/>
          <w:caps w:val="0"/>
          <w:sz w:val="22"/>
          <w:lang w:val="pl-PL" w:bidi="pl-PL" w:eastAsia="pl-PL"/>
        </w:rPr>
        <w:t xml:space="preserve">drzew </w:t>
      </w:r>
      <w:r>
        <w:rPr>
          <w:rFonts w:ascii="Times New Roman" w:hAnsi="Times New Roman"/>
          <w:b w:val="0"/>
          <w:caps w:val="0"/>
          <w:sz w:val="22"/>
        </w:rPr>
        <w:t>wskazanych w §18 </w:t>
      </w:r>
      <w:r>
        <w:rPr>
          <w:rFonts w:ascii="Times New Roman" w:hAnsi="Times New Roman"/>
          <w:b w:val="0"/>
          <w:caps w:val="0"/>
          <w:sz w:val="22"/>
          <w:lang w:val="pl-PL" w:bidi="pl-PL" w:eastAsia="pl-PL"/>
        </w:rPr>
        <w:t xml:space="preserve">oraz §20 </w:t>
      </w:r>
      <w:r>
        <w:rPr>
          <w:rFonts w:ascii="Times New Roman" w:hAnsi="Times New Roman"/>
          <w:b w:val="0"/>
          <w:caps w:val="0"/>
          <w:sz w:val="22"/>
        </w:rPr>
        <w:t>uchwały następuje z uwagi</w:t>
      </w:r>
      <w:r>
        <w:rPr>
          <w:rFonts w:ascii="Times New Roman" w:hAnsi="Times New Roman"/>
          <w:b w:val="0"/>
          <w:caps w:val="0"/>
          <w:sz w:val="22"/>
          <w:lang w:val="pl-PL" w:bidi="pl-PL" w:eastAsia="pl-PL"/>
        </w:rPr>
        <w:br w:type="textWrapping"/>
      </w:r>
      <w:r>
        <w:rPr>
          <w:rFonts w:ascii="Times New Roman" w:hAnsi="Times New Roman"/>
          <w:b w:val="0"/>
          <w:caps w:val="0"/>
          <w:sz w:val="22"/>
        </w:rPr>
        <w:t>na utratę ich wartości przyrodniczych i</w:t>
      </w:r>
      <w:r>
        <w:rPr>
          <w:rFonts w:ascii="Times New Roman" w:hAnsi="Times New Roman"/>
          <w:b w:val="0"/>
          <w:caps w:val="0"/>
          <w:sz w:val="22"/>
          <w:lang w:val="pl-PL" w:bidi="pl-PL" w:eastAsia="pl-PL"/>
        </w:rPr>
        <w:t xml:space="preserve"> </w:t>
      </w:r>
      <w:r>
        <w:rPr>
          <w:rFonts w:ascii="Times New Roman" w:hAnsi="Times New Roman"/>
          <w:b w:val="0"/>
          <w:caps w:val="0"/>
          <w:sz w:val="22"/>
        </w:rPr>
        <w:t>krajobrazowych</w:t>
      </w:r>
      <w:r>
        <w:rPr>
          <w:rFonts w:ascii="Times New Roman" w:hAnsi="Times New Roman"/>
          <w:b w:val="0"/>
          <w:caps w:val="0"/>
          <w:sz w:val="22"/>
          <w:lang w:val="pl-PL" w:bidi="pl-PL" w:eastAsia="pl-PL"/>
        </w:rPr>
        <w:t xml:space="preserve"> w wyniku postępującej degradacji </w:t>
        <w:br w:type="textWrapping"/>
        <w:t xml:space="preserve">oraz znacznego pogorszenia stanu zachowania. Wewnątrz pni widać postępujące objawy procesów chorobowych. W koronie drzewa nie stwierdzono występowania żadnych gniazd ptasich ani dziupli wykorzystywanych przez ptaki. </w:t>
      </w:r>
      <w:r>
        <w:rPr>
          <w:b w:val="0"/>
        </w:rPr>
        <w:t>Jednocześnie aktualny stan obiektów stwarza realne zagrożenie dla bezpieczeństwa powszechnego.</w:t>
      </w:r>
      <w:r>
        <w:rPr>
          <w:b w:val="1"/>
        </w:rPr>
        <w:t xml:space="preserve"> </w:t>
      </w:r>
      <w:r>
        <w:rPr>
          <w:b w:val="0"/>
        </w:rPr>
        <w:t xml:space="preserve">Pomniki zlokalizowane są w bezpośrednim sąsiedztwie ciągu pieszego oraz traktu komunikacyjnego, co dodatkowo potęguje ryzyko związane z ich dalszym pozostawieniem </w:t>
      </w:r>
      <w:r>
        <w:rPr>
          <w:b w:val="0"/>
          <w:lang w:val="pl-PL" w:bidi="pl-PL" w:eastAsia="pl-PL"/>
        </w:rPr>
        <w:br w:type="textWrapping"/>
      </w:r>
      <w:r>
        <w:rPr>
          <w:b w:val="0"/>
        </w:rPr>
        <w:t>w obecnym stanie.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caps w:val="0"/>
          <w:sz w:val="22"/>
        </w:rPr>
      </w:pPr>
      <w:r>
        <w:rPr>
          <w:rFonts w:ascii="Times New Roman" w:hAnsi="Times New Roman"/>
          <w:b w:val="0"/>
          <w:caps w:val="0"/>
          <w:sz w:val="22"/>
          <w:lang w:val="pl-PL" w:bidi="pl-PL" w:eastAsia="pl-PL"/>
        </w:rPr>
        <w:t xml:space="preserve"> </w:t>
      </w:r>
      <w:r>
        <w:rPr>
          <w:rFonts w:ascii="Times New Roman" w:hAnsi="Times New Roman"/>
          <w:b w:val="0"/>
          <w:caps w:val="0"/>
          <w:sz w:val="22"/>
        </w:rPr>
        <w:t>Projekt niniejszej uchwały został pozytywnie zaopiniowany przez Komisj</w:t>
      </w:r>
      <w:r>
        <w:rPr>
          <w:rFonts w:ascii="Times New Roman" w:hAnsi="Times New Roman"/>
          <w:b w:val="0"/>
          <w:caps w:val="0"/>
          <w:sz w:val="22"/>
          <w:lang w:val="pl-PL" w:bidi="pl-PL" w:eastAsia="pl-PL"/>
        </w:rPr>
        <w:t>ę</w:t>
      </w:r>
      <w:r>
        <w:rPr>
          <w:rFonts w:ascii="Times New Roman" w:hAnsi="Times New Roman"/>
          <w:b w:val="0"/>
          <w:caps w:val="0"/>
          <w:sz w:val="22"/>
        </w:rPr>
        <w:t xml:space="preserve"> Rolnictwa, Leśnictwa</w:t>
        <w:br w:type="textWrapping"/>
        <w:t>i Ochrony Środowiska Rady Miejskiej w Sępólnie Krajeńskim oraz uzgodniony</w:t>
      </w:r>
      <w:r>
        <w:rPr>
          <w:rFonts w:ascii="Times New Roman" w:hAnsi="Times New Roman"/>
          <w:b w:val="0"/>
          <w:caps w:val="0"/>
          <w:sz w:val="22"/>
          <w:lang w:val="pl-PL" w:bidi="pl-PL" w:eastAsia="pl-PL"/>
        </w:rPr>
        <w:t xml:space="preserve"> </w:t>
      </w:r>
      <w:r>
        <w:rPr>
          <w:rFonts w:ascii="Times New Roman" w:hAnsi="Times New Roman"/>
          <w:b w:val="0"/>
          <w:caps w:val="0"/>
          <w:sz w:val="22"/>
        </w:rPr>
        <w:t>z</w:t>
      </w:r>
      <w:r>
        <w:rPr>
          <w:rFonts w:ascii="Times New Roman" w:hAnsi="Times New Roman"/>
          <w:b w:val="0"/>
          <w:caps w:val="0"/>
          <w:sz w:val="22"/>
          <w:lang w:val="pl-PL" w:bidi="pl-PL" w:eastAsia="pl-PL"/>
        </w:rPr>
        <w:t xml:space="preserve"> </w:t>
      </w:r>
      <w:r>
        <w:rPr>
          <w:rFonts w:ascii="Times New Roman" w:hAnsi="Times New Roman"/>
          <w:b w:val="0"/>
          <w:caps w:val="0"/>
          <w:sz w:val="22"/>
        </w:rPr>
        <w:t>Regionalnym Dyrektorem Ochrony Środowiska w Bydgoszczy.</w:t>
      </w:r>
    </w:p>
    <w:p>
      <w:pPr>
        <w:keepNext w:val="1"/>
        <w:spacing w:before="0" w:after="0" w:beforeAutospacing="0" w:afterAutospacing="0"/>
        <w:rPr>
          <w:rFonts w:ascii="Times New Roman" w:hAnsi="Times New Roman"/>
          <w:b w:val="0"/>
          <w:i w:val="0"/>
          <w:caps w:val="0"/>
          <w:sz w:val="22"/>
          <w:u w:val="none"/>
          <w:vertAlign w:val="baseline"/>
        </w:rPr>
      </w:pPr>
      <w:r>
        <w:rPr>
          <w:rFonts w:ascii="Times New Roman" w:hAnsi="Times New Roman"/>
          <w:b w:val="0"/>
          <w:caps w:val="0"/>
          <w:sz w:val="22"/>
        </w:rPr>
        <w:t>  </w:t>
      </w:r>
    </w:p>
    <w:tbl>
      <w:tblPr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/>
      <w:tr>
        <w:tblPrEx>
          <w:tblW w:w="5000" w:type="pct"/>
        </w:tblPrEx>
        <w:tc>
          <w:tcPr>
            <w:tcW w:w="4935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jc w:val="left"/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</w:pPr>
          </w:p>
        </w:tc>
        <w:tc>
          <w:tcPr>
            <w:tcW w:w="4935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 w:val="1"/>
              <w:keepLines w:val="1"/>
              <w:spacing w:before="560" w:after="560" w:beforeAutospacing="0" w:afterAutospacing="0"/>
              <w:ind w:firstLine="0" w:left="1134" w:right="1134"/>
              <w:jc w:val="center"/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fldChar w:fldCharType="begin"/>
            </w: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instrText>MERGEFIELD SIGNATURE_0_0__FUNCTION \* MERGEFORMAT</w:instrTex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Przewodniczący Rady Miejskiej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fldChar w:fldCharType="end"/>
            </w: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br w:type="textWrapping"/>
              <w:br w:type="textWrapping"/>
              <w:br w:type="textWrapping"/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fldChar w:fldCharType="begin"/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instrText>MERGEFIELD SIGNATURE_0_0_FIRSTNAME \* MERGEFORMAT</w:instrText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fldChar w:fldCharType="separate"/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t>Artur</w:t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fldChar w:fldCharType="end"/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t> </w:t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fldChar w:fldCharType="begin"/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instrText>MERGEFIELD SIGNATURE_0_0_LASTNAME \* MERGEFORMAT</w:instrText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fldChar w:fldCharType="separate"/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t>Juhnke</w:t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fldChar w:fldCharType="end"/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t> </w:t>
            </w:r>
          </w:p>
        </w:tc>
      </w:tr>
    </w:tbl>
    <w:p>
      <w:pPr>
        <w:keepNext w:val="1"/>
        <w:spacing w:before="0" w:after="0" w:beforeAutospacing="0" w:afterAutospacing="0"/>
        <w:rPr>
          <w:rFonts w:ascii="Times New Roman" w:hAnsi="Times New Roman"/>
          <w:b w:val="0"/>
          <w:i w:val="0"/>
          <w:caps w:val="0"/>
          <w:sz w:val="22"/>
          <w:u w:val="none"/>
          <w:vertAlign w:val="baseline"/>
        </w:rPr>
      </w:pPr>
    </w:p>
    <w:sectPr>
      <w:endnotePr>
        <w:numFmt w:val="decimal"/>
      </w:endnotePr>
      <w:type w:val="nextPage"/>
      <w:pgSz w:w="11906" w:h="16838" w:code="0"/>
      <w:pgMar w:left="1020" w:right="1020" w:top="1417" w:bottom="992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nsid w:val="4E1C5710"/>
    <w:multiLevelType w:val="multilevel"/>
    <w:lvl w:ilvl="0">
      <w:start w:val="1"/>
      <w:numFmt w:val="bullet"/>
      <w:suff w:val="tab"/>
      <w:lvlText w:val="·"/>
      <w:lvlJc w:val="left"/>
      <w:pPr>
        <w:spacing w:lineRule="auto" w:line="240" w:after="0" w:beforeAutospacing="0" w:afterAutospacing="0"/>
        <w:ind w:hanging="360" w:left="720"/>
      </w:pPr>
      <w:rPr>
        <w:rFonts w:ascii="Symbol" w:hAnsi="Symbol"/>
        <w:sz w:val="20"/>
      </w:rPr>
    </w:lvl>
    <w:lvl w:ilvl="1">
      <w:start w:val="1"/>
      <w:numFmt w:val="bullet"/>
      <w:suff w:val="tab"/>
      <w:lvlText w:val="o"/>
      <w:lvlJc w:val="left"/>
      <w:pPr>
        <w:spacing w:lineRule="auto" w:line="240" w:after="0" w:beforeAutospacing="0" w:afterAutospacing="0"/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suff w:val="tab"/>
      <w:lvlText w:val="§"/>
      <w:lvlJc w:val="left"/>
      <w:pPr>
        <w:spacing w:lineRule="auto" w:line="240" w:after="0" w:beforeAutospacing="0" w:afterAutospacing="0"/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suff w:val="tab"/>
      <w:lvlText w:val="§"/>
      <w:lvlJc w:val="left"/>
      <w:pPr>
        <w:spacing w:lineRule="auto" w:line="240" w:after="0" w:beforeAutospacing="0" w:afterAutospacing="0"/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suff w:val="tab"/>
      <w:lvlText w:val="§"/>
      <w:lvlJc w:val="left"/>
      <w:pPr>
        <w:spacing w:lineRule="auto" w:line="240" w:after="0" w:beforeAutospacing="0" w:afterAutospacing="0"/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suff w:val="tab"/>
      <w:lvlText w:val="§"/>
      <w:lvlJc w:val="left"/>
      <w:pPr>
        <w:spacing w:lineRule="auto" w:line="240" w:after="0" w:beforeAutospacing="0" w:afterAutospacing="0"/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suff w:val="tab"/>
      <w:lvlText w:val="§"/>
      <w:lvlJc w:val="left"/>
      <w:pPr>
        <w:spacing w:lineRule="auto" w:line="240" w:after="0" w:beforeAutospacing="0" w:afterAutospacing="0"/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suff w:val="tab"/>
      <w:lvlText w:val="§"/>
      <w:lvlJc w:val="left"/>
      <w:pPr>
        <w:spacing w:lineRule="auto" w:line="240" w:after="0" w:beforeAutospacing="0" w:afterAutospacing="0"/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suff w:val="tab"/>
      <w:lvlText w:val="§"/>
      <w:lvlJc w:val="left"/>
      <w:pPr>
        <w:spacing w:lineRule="auto" w:line="240" w:after="0" w:beforeAutospacing="0" w:afterAutospacing="0"/>
        <w:ind w:hanging="360" w:left="6480"/>
      </w:pPr>
      <w:rPr>
        <w:rFonts w:ascii="Wingdings" w:hAnsi="Wingdings"/>
        <w:sz w:val="20"/>
      </w:rPr>
    </w:lvl>
  </w:abstractNum>
  <w:abstractNum w:abstractNumId="1">
    <w:nsid w:val="0E631619"/>
    <w:multiLevelType w:val="multilevel"/>
    <w:lvl w:ilvl="0">
      <w:start w:val="1"/>
      <w:numFmt w:val="bullet"/>
      <w:suff w:val="tab"/>
      <w:lvlText w:val="·"/>
      <w:lvlJc w:val="left"/>
      <w:pPr>
        <w:spacing w:lineRule="auto" w:line="240" w:after="0" w:beforeAutospacing="0" w:afterAutospacing="0"/>
        <w:ind w:hanging="360" w:left="720"/>
      </w:pPr>
      <w:rPr>
        <w:rFonts w:ascii="Symbol" w:hAnsi="Symbol"/>
        <w:sz w:val="20"/>
      </w:rPr>
    </w:lvl>
    <w:lvl w:ilvl="1">
      <w:start w:val="1"/>
      <w:numFmt w:val="bullet"/>
      <w:suff w:val="tab"/>
      <w:lvlText w:val="o"/>
      <w:lvlJc w:val="left"/>
      <w:pPr>
        <w:spacing w:lineRule="auto" w:line="240" w:after="0" w:beforeAutospacing="0" w:afterAutospacing="0"/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suff w:val="tab"/>
      <w:lvlText w:val="§"/>
      <w:lvlJc w:val="left"/>
      <w:pPr>
        <w:spacing w:lineRule="auto" w:line="240" w:after="0" w:beforeAutospacing="0" w:afterAutospacing="0"/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suff w:val="tab"/>
      <w:lvlText w:val="§"/>
      <w:lvlJc w:val="left"/>
      <w:pPr>
        <w:spacing w:lineRule="auto" w:line="240" w:after="0" w:beforeAutospacing="0" w:afterAutospacing="0"/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suff w:val="tab"/>
      <w:lvlText w:val="§"/>
      <w:lvlJc w:val="left"/>
      <w:pPr>
        <w:spacing w:lineRule="auto" w:line="240" w:after="0" w:beforeAutospacing="0" w:afterAutospacing="0"/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suff w:val="tab"/>
      <w:lvlText w:val="§"/>
      <w:lvlJc w:val="left"/>
      <w:pPr>
        <w:spacing w:lineRule="auto" w:line="240" w:after="0" w:beforeAutospacing="0" w:afterAutospacing="0"/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suff w:val="tab"/>
      <w:lvlText w:val="§"/>
      <w:lvlJc w:val="left"/>
      <w:pPr>
        <w:spacing w:lineRule="auto" w:line="240" w:after="0" w:beforeAutospacing="0" w:afterAutospacing="0"/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suff w:val="tab"/>
      <w:lvlText w:val="§"/>
      <w:lvlJc w:val="left"/>
      <w:pPr>
        <w:spacing w:lineRule="auto" w:line="240" w:after="0" w:beforeAutospacing="0" w:afterAutospacing="0"/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suff w:val="tab"/>
      <w:lvlText w:val="§"/>
      <w:lvlJc w:val="left"/>
      <w:pPr>
        <w:spacing w:lineRule="auto" w:line="240" w:after="0" w:beforeAutospacing="0" w:afterAutospacing="0"/>
        <w:ind w:hanging="360" w:left="6480"/>
      </w:pPr>
      <w:rPr>
        <w:rFonts w:ascii="Wingdings" w:hAnsi="Wingdings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 w:val="pl-PL" w:bidi="pl-PL" w:eastAsia="pl-PL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qFormat/>
    <w:pPr>
      <w:jc w:val="both"/>
    </w:pPr>
    <w:rPr>
      <w:rFonts w:ascii="Times New Roman" w:hAnsi="Times New Roman"/>
      <w:sz w:val="22"/>
      <w:lang w:val="pl-PL" w:bidi="pl-PL" w:eastAsia="pl-PL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semiHidden/>
    <w:rPr>
      <w:lang w:val="pl-PL" w:bidi="pl-PL" w:eastAsia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numbering" w:styleId="N0">
    <w:name w:val="No List"/>
  </w:style>
</w:styles>
</file>

<file path=word/_rels/document.xml.rels>&#65279;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category>Akt prawny</cp:category>
  <dc:creator>Hoppe</dc:creator>
  <dcterms:created xsi:type="dcterms:W3CDTF">2026-01-08T13:25:39Z</dcterms:created>
  <cp:lastModifiedBy>UMSK\M.Frosina</cp:lastModifiedBy>
  <dcterms:modified xsi:type="dcterms:W3CDTF">2026-08-28T10:36:13Z</dcterms:modified>
  <cp:revision>51</cp:revision>
  <dc:subject>w sprawie zniesienia statusu pomników przyrody na terenie Gminy Sępólno Krajeńskie.</dc:subject>
  <dc:title>Uchwała nr  XXIII/.../2026 z dnia 28 stycznia 2026 r.</dc:title>
</cp:coreProperties>
</file>