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3FF5A22" Type="http://schemas.openxmlformats.org/officeDocument/2006/relationships/officeDocument" Target="/word/document.xml" /><Relationship Id="coreR73FF5A2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XXVIII/220/2026</w:t>
        <w:br w:type="textWrapping"/>
        <w:t>Rady Miejskiej w Sępólnie Krajeńskim</w:t>
        <w:br w:type="textWrapping"/>
        <w:t>z dnia 24 czerwca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53 757 886,50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18 454 907,54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16 125 338,75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19 472 746,73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4 448 101,43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1 746 214,00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34 285 139,77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14 006 806,11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14 379 124,75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20 597 155,33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11 603 338,23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3 983 521,58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5 642 311,73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2 620 660,18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311 082,00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14 954 843,60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8 982 678,05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3 912 307,58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2 732 843,60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2 387 692,42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3 912 307,58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33 160 731,17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6 851 569,31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12 141 817,17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13 830 435,00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1 827 441,25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1 675 000,00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1 306 000,00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249 920,00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152 590,00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Ubezpieczenie majątku - Ubezpieczenie majątku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257 000,00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257 000,00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19 330 296,17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5 024 128,06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10 466 817,17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103 817,17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dla zadania pn. "Budowa drogi gminnej relacji Włościbórz – Włościbórek – Trzciany (Etap I)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43 739 246,29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15 353 315,43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28 385 930,86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15 586 859,81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2 691 874,18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181 508,00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12 894 985,63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28 152 386,48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12 661 441,25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149 515,00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Ubezpieczenie majątku - Ubezpieczenie majątku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15 490 945,23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697 410,00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Remont i modernizacja schodów i elewacji w CUS - poprawa bezpieczeństwa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183 817,17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dla zadania pn. "Budowa drogi gminnej relacji Włościbórz – Włościbórek – Trzciany (Etap I)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2026-06-25T13:45:46Z</dcterms:created>
  <cp:lastModifiedBy>HOST-13\Frosina</cp:lastModifiedBy>
  <dcterms:modified xsi:type="dcterms:W3CDTF">2026-06-25T12:31:43Z</dcterms:modified>
  <cp:revision>3</cp:revision>
  <dc:title>Uchwała nr  XXVIII/220/2026 z dnia 24 czerwca 2026 r.</dc:title>
</cp:coreProperties>
</file>