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354A851E" Type="http://schemas.openxmlformats.org/officeDocument/2006/relationships/officeDocument" Target="/word/document.xml" /><Relationship Id="coreR354A851E" Type="http://schemas.openxmlformats.org/package/2006/relationships/metadata/core-properties" Target="/docProps/core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keepNext w:val="1"/>
        <w:spacing w:lineRule="auto" w:line="360" w:before="120" w:after="120" w:beforeAutospacing="0" w:afterAutospacing="0"/>
        <w:ind w:firstLine="0" w:left="4535" w:right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Załącznik do uchwały nr XXIV/193/2026</w:t>
        <w:br w:type="textWrapping"/>
        <w:t>Rady Miejskiej w Sępólnie Krajeńskim</w:t>
        <w:br w:type="textWrapping"/>
        <w:t>z dnia 25 lutego 2026 r.</w:t>
      </w:r>
    </w:p>
    <w:p>
      <w:pPr>
        <w:keepNext w:val="1"/>
        <w:spacing w:lineRule="auto" w:line="240" w:before="0" w:after="480" w:beforeAutospacing="0" w:afterAutospacing="0"/>
        <w:ind w:firstLine="0" w:left="0" w:right="0"/>
        <w:jc w:val="center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b w:val="1"/>
          <w:caps w:val="0"/>
          <w:sz w:val="22"/>
        </w:rPr>
        <w:t>Uzasadnienie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  <w:t>W dniu 20 lutego 2026 r. wpłynęła do Przewodniczącego Rady Miejskiej w Sępólnie Krajeńskim skarga na Burmistrza Sępólna Krajeńskiego przekazana wg właściwości przez Wojewódzki Inspektorat Ochrony Środowiska w Bydgoszczy.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  <w:t>Postępowanie wyjaśniające w sprawie w/w skargi w dniu 23 lutego 2026 r. przeprowadziła Komisja Skarg, Wniosków i Petycji Rady Miejskiej w Sępólnie Krajeńskim. Wobec skomplikowanego charakteru skargi Komisja uznała, że koniecznym do wypracowania stanowiska w sprawie skargi jest przeprowadzenie dalszego wnikliwego postępowania wyjaśniającego, pozwalającego na wypracowanie jej prawidłowego rozstrzygnięcia. W związku z powyższym Komisja stwierdziła, że nie zdoła przeprowadzić dalszego postępowania wyjaśniającego w  terminie umożliwiającym przygotowanie projektu uchwały Rady Miejskiej w sprawie rozstrzygnięcia skargi na sesję Rady Miejskiej w Sępólnie Krajeńskim, która odbędzie się w dniu 25 lutego 2026 r. Mając powyższe na względzie Komisja zasugerowała przedłużenie terminu rozpatrzenia skargi do dnia 31 marca 2026r.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  <w:tab/>
        <w:t>Zgodnie z art. 237 § 1 ustawy z dnia 14 czerwca 1960 r. – Kodeks postępowania administracyjnego (t.j. Dz.U. z 2025 r., poz. 1691) w sprawie terminów załatwiania skarg organ właściwy do załatwienia skargi powinien załatwić skargę bez zbędnej zwłoki, nie później jednak niż w ciągu miesiąca.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  <w:t xml:space="preserve">W razie niezałatwienia skargi w terminie określonym w art. 237 § 1 organ administracji publicznej jest  zobowiązany zawiadomić skarżącego, podając przyczyny zwłoki i wskazując nowy termin rozpatrzenia skargi.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  <w:t>Rada Miejska w Sępólnie Krajeńskim, uwzględniając sugestię Komisji Skarg, Wniosków i Petycji Rady Miejskiej w Sępólnie Krajeńskim, postanowiła przedłużyć termin rozpatrzenia skargi do dnia 31 marca 2026 r.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  <w:t>Zgodnie z art. 36 ust 1 ustawy z dnia 14 czerwca – Kodeks postępowania administracyjnego (t.j. Dz.U. z 2025 r., poz. 1691) skarżącemu przysługuje prawo do wniesienia ponaglenia na podstawie art. 37 § 3 pkt 2 w/w ustawy.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</w:p>
    <w:tbl>
      <w:tblPr>
        <w:tblStyle w:val="T1"/>
        <w:tblW w:w="5000" w:type="pct"/>
        <w:tblBorders>
          <w:top w:val="none" w:sz="4" w:space="0" w:shadow="0" w:frame="0" w:color="000000"/>
          <w:left w:val="none" w:sz="4" w:space="0" w:shadow="0" w:frame="0" w:color="000000"/>
          <w:bottom w:val="none" w:sz="4" w:space="0" w:shadow="0" w:frame="0" w:color="000000"/>
          <w:right w:val="none" w:sz="4" w:space="0" w:shadow="0" w:frame="0" w:color="000000"/>
        </w:tblBorders>
        <w:tblLook w:val="04A0"/>
      </w:tblPr>
      <w:tblGrid/>
      <w:tr>
        <w:tc>
          <w:tcPr>
            <w:tcW w:w="2500" w:type="pct"/>
            <w:tcBorders>
              <w:right w:val="none" w:sz="4" w:space="0" w:shadow="0" w:frame="0" w:color="000000"/>
            </w:tcBorders>
            <w:vAlign w:val="top"/>
          </w:tcPr>
          <w:p>
            <w:pPr>
              <w:keepNext w:val="0"/>
              <w:keepLines w:val="0"/>
              <w:spacing w:lineRule="auto" w:line="240" w:before="120" w:after="120" w:beforeAutospacing="0" w:afterAutospacing="0"/>
              <w:ind w:firstLine="0" w:left="0" w:right="0"/>
              <w:jc w:val="both"/>
              <w:rPr>
                <w:rFonts w:ascii="Times New Roman" w:hAnsi="Times New Roman"/>
                <w:b w:val="0"/>
                <w:caps w:val="0"/>
                <w:strike w:val="0"/>
                <w:color w:val="auto"/>
                <w:sz w:val="22"/>
                <w:u w:val="none"/>
              </w:rPr>
            </w:pPr>
          </w:p>
        </w:tc>
        <w:tc>
          <w:tcPr>
            <w:tcW w:w="2500" w:type="pct"/>
            <w:tcBorders>
              <w:left w:val="none" w:sz="4" w:space="0" w:shadow="0" w:frame="0" w:color="000000"/>
            </w:tcBorders>
            <w:vAlign w:val="top"/>
          </w:tcPr>
          <w:p>
            <w:pPr>
              <w:keepNext w:val="0"/>
              <w:keepLines w:val="0"/>
              <w:spacing w:lineRule="auto" w:line="240" w:before="120" w:after="120" w:beforeAutospacing="0" w:afterAutospacing="0"/>
              <w:ind w:firstLine="0" w:left="0" w:right="0"/>
              <w:jc w:val="center"/>
              <w:rPr>
                <w:rFonts w:ascii="Times New Roman" w:hAnsi="Times New Roman"/>
                <w:b w:val="0"/>
                <w:caps w:val="0"/>
                <w:strike w:val="0"/>
                <w:color w:val="auto"/>
                <w:sz w:val="22"/>
                <w:u w:val="none"/>
              </w:rPr>
            </w:pPr>
            <w:r>
              <w:rPr>
                <w:rFonts w:ascii="Times New Roman" w:hAnsi="Times New Roman"/>
                <w:b w:val="0"/>
                <w:caps w:val="0"/>
                <w:strike w:val="0"/>
                <w:color w:val="auto"/>
                <w:sz w:val="22"/>
                <w:u w:val="none"/>
              </w:rPr>
              <w:fldChar w:fldCharType="begin"/>
            </w:r>
            <w:r>
              <w:rPr>
                <w:rFonts w:ascii="Times New Roman" w:hAnsi="Times New Roman"/>
                <w:b w:val="0"/>
                <w:caps w:val="0"/>
                <w:strike w:val="0"/>
                <w:color w:val="auto"/>
                <w:sz w:val="22"/>
                <w:u w:val="none"/>
              </w:rPr>
              <w:instrText>SIGNATURE_0_1_FUNCTION</w:instrText>
            </w:r>
            <w:r>
              <w:rPr>
                <w:rFonts w:ascii="Times New Roman" w:hAnsi="Times New Roman"/>
                <w:b w:val="0"/>
                <w:caps w:val="0"/>
                <w:strike w:val="0"/>
                <w:color w:val="auto"/>
                <w:sz w:val="22"/>
                <w:u w:val="none"/>
              </w:rPr>
              <w:fldChar w:fldCharType="separate"/>
            </w:r>
            <w:r>
              <w:rPr>
                <w:rFonts w:ascii="Times New Roman" w:hAnsi="Times New Roman"/>
                <w:b w:val="0"/>
                <w:caps w:val="0"/>
                <w:strike w:val="0"/>
                <w:color w:val="auto"/>
                <w:sz w:val="22"/>
                <w:u w:val="none"/>
              </w:rPr>
              <w:t xml:space="preserve">Przewodniczący Rady Miejskiej </w:t>
            </w:r>
            <w:r>
              <w:rPr>
                <w:rFonts w:ascii="Times New Roman" w:hAnsi="Times New Roman"/>
                <w:b w:val="0"/>
                <w:caps w:val="0"/>
                <w:strike w:val="0"/>
                <w:color w:val="auto"/>
                <w:sz w:val="22"/>
                <w:u w:val="none"/>
              </w:rPr>
              <w:fldChar w:fldCharType="end"/>
            </w:r>
          </w:p>
          <w:p>
            <w:pPr>
              <w:keepNext w:val="0"/>
              <w:keepLines w:val="0"/>
              <w:spacing w:lineRule="auto" w:line="240" w:before="120" w:after="120" w:beforeAutospacing="0" w:afterAutospacing="0"/>
              <w:ind w:firstLine="0" w:left="0" w:right="0"/>
              <w:jc w:val="center"/>
              <w:rPr>
                <w:rFonts w:ascii="Times New Roman" w:hAnsi="Times New Roman"/>
                <w:b w:val="0"/>
                <w:caps w:val="0"/>
                <w:strike w:val="0"/>
                <w:color w:val="auto"/>
                <w:sz w:val="22"/>
                <w:u w:val="none"/>
              </w:rPr>
            </w:pPr>
            <w:r>
              <w:rPr>
                <w:rFonts w:ascii="Times New Roman" w:hAnsi="Times New Roman"/>
                <w:b w:val="0"/>
                <w:caps w:val="0"/>
                <w:strike w:val="0"/>
                <w:color w:val="auto"/>
                <w:sz w:val="22"/>
                <w:u w:val="none"/>
              </w:rPr>
              <w:t xml:space="preserve"> </w:t>
            </w:r>
          </w:p>
          <w:p>
            <w:pPr>
              <w:keepNext w:val="0"/>
              <w:keepLines w:val="0"/>
              <w:spacing w:lineRule="auto" w:line="240" w:before="120" w:after="120" w:beforeAutospacing="0" w:afterAutospacing="0"/>
              <w:ind w:firstLine="0" w:left="0" w:right="0"/>
              <w:jc w:val="center"/>
              <w:rPr>
                <w:rFonts w:ascii="Times New Roman" w:hAnsi="Times New Roman"/>
                <w:b w:val="0"/>
                <w:caps w:val="0"/>
                <w:strike w:val="0"/>
                <w:color w:val="auto"/>
                <w:sz w:val="22"/>
                <w:u w:val="none"/>
              </w:rPr>
            </w:pPr>
            <w:r>
              <w:rPr>
                <w:rFonts w:ascii="Times New Roman" w:hAnsi="Times New Roman"/>
                <w:b w:val="0"/>
                <w:caps w:val="0"/>
                <w:strike w:val="0"/>
                <w:color w:val="auto"/>
                <w:sz w:val="22"/>
                <w:u w:val="none"/>
              </w:rPr>
              <w:fldChar w:fldCharType="begin"/>
            </w:r>
            <w:r>
              <w:rPr>
                <w:rFonts w:ascii="Times New Roman" w:hAnsi="Times New Roman"/>
                <w:b w:val="0"/>
                <w:caps w:val="0"/>
                <w:strike w:val="0"/>
                <w:color w:val="auto"/>
                <w:sz w:val="22"/>
                <w:u w:val="none"/>
              </w:rPr>
              <w:instrText>SIGNATURE_0_1_FIRSTNAME</w:instrText>
            </w:r>
            <w:r>
              <w:rPr>
                <w:rFonts w:ascii="Times New Roman" w:hAnsi="Times New Roman"/>
                <w:b w:val="0"/>
                <w:caps w:val="0"/>
                <w:strike w:val="0"/>
                <w:color w:val="auto"/>
                <w:sz w:val="22"/>
                <w:u w:val="none"/>
              </w:rPr>
              <w:fldChar w:fldCharType="separate"/>
            </w:r>
            <w:r>
              <w:rPr>
                <w:rFonts w:ascii="Times New Roman" w:hAnsi="Times New Roman"/>
                <w:b w:val="1"/>
                <w:caps w:val="0"/>
                <w:strike w:val="0"/>
                <w:color w:val="auto"/>
                <w:sz w:val="22"/>
                <w:u w:val="none"/>
              </w:rPr>
              <w:t xml:space="preserve">Artur   </w:t>
            </w:r>
            <w:r>
              <w:rPr>
                <w:rFonts w:ascii="Times New Roman" w:hAnsi="Times New Roman"/>
                <w:b w:val="0"/>
                <w:caps w:val="0"/>
                <w:strike w:val="0"/>
                <w:color w:val="auto"/>
                <w:sz w:val="22"/>
                <w:u w:val="none"/>
              </w:rPr>
              <w:fldChar w:fldCharType="end"/>
            </w:r>
            <w:r>
              <w:rPr>
                <w:rFonts w:ascii="Times New Roman" w:hAnsi="Times New Roman"/>
                <w:b w:val="0"/>
                <w:caps w:val="0"/>
                <w:strike w:val="0"/>
                <w:color w:val="auto"/>
                <w:sz w:val="22"/>
                <w:u w:val="none"/>
              </w:rPr>
              <w:fldChar w:fldCharType="begin"/>
            </w:r>
            <w:r>
              <w:rPr>
                <w:rFonts w:ascii="Times New Roman" w:hAnsi="Times New Roman"/>
                <w:b w:val="0"/>
                <w:caps w:val="0"/>
                <w:strike w:val="0"/>
                <w:color w:val="auto"/>
                <w:sz w:val="22"/>
                <w:u w:val="none"/>
              </w:rPr>
              <w:instrText>SIGNATURE_0_1_LASTNAME</w:instrText>
            </w:r>
            <w:r>
              <w:rPr>
                <w:rFonts w:ascii="Times New Roman" w:hAnsi="Times New Roman"/>
                <w:b w:val="0"/>
                <w:caps w:val="0"/>
                <w:strike w:val="0"/>
                <w:color w:val="auto"/>
                <w:sz w:val="22"/>
                <w:u w:val="none"/>
              </w:rPr>
              <w:fldChar w:fldCharType="separate"/>
            </w:r>
            <w:r>
              <w:rPr>
                <w:rFonts w:ascii="Times New Roman" w:hAnsi="Times New Roman"/>
                <w:b w:val="1"/>
                <w:caps w:val="0"/>
                <w:strike w:val="0"/>
                <w:color w:val="auto"/>
                <w:sz w:val="22"/>
                <w:u w:val="none"/>
              </w:rPr>
              <w:t>Juhnke</w:t>
            </w:r>
            <w:r>
              <w:rPr>
                <w:rFonts w:ascii="Times New Roman" w:hAnsi="Times New Roman"/>
                <w:b w:val="0"/>
                <w:caps w:val="0"/>
                <w:strike w:val="0"/>
                <w:color w:val="auto"/>
                <w:sz w:val="22"/>
                <w:u w:val="none"/>
              </w:rPr>
              <w:fldChar w:fldCharType="end"/>
            </w:r>
          </w:p>
        </w:tc>
      </w:tr>
    </w:tbl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</w:p>
    <w:sectPr>
      <w:endnotePr>
        <w:numFmt w:val="decimal"/>
      </w:endnotePr>
      <w:type w:val="nextPage"/>
      <w:pgSz w:w="11906" w:h="16838" w:code="0"/>
      <w:pgMar w:left="1020" w:right="1020" w:top="1417" w:bottom="992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 w:val="pl-PL" w:bidi="pl-PL" w:eastAsia="pl-PL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qFormat/>
    <w:pPr>
      <w:jc w:val="both"/>
    </w:pPr>
    <w:rPr>
      <w:rFonts w:ascii="Times New Roman" w:hAnsi="Times New Roman"/>
      <w:sz w:val="22"/>
      <w:lang w:val="pl-PL" w:bidi="pl-PL" w:eastAsia="pl-PL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semiHidden/>
    <w:rPr>
      <w:lang w:val="pl-PL" w:bidi="pl-PL" w:eastAsia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category>Akt prawny</cp:category>
  <dc:creator>Dix</dc:creator>
  <dcterms:created xsi:type="dcterms:W3CDTF">2026-02-23T11:35:54Z</dcterms:created>
  <cp:lastModifiedBy>HOST-13\Frosina</cp:lastModifiedBy>
  <dcterms:modified xsi:type="dcterms:W3CDTF">2026-02-26T08:55:11Z</dcterms:modified>
  <cp:revision>8</cp:revision>
  <dc:subject>w sprawie przedłużenia terminu rozpatrzenia skargi z dnia 12 lutego 2026 r.</dc:subject>
  <dc:title>Uchwała nr  XXIV/…/2026 z dnia 25 lutego 2026 r.</dc:title>
</cp:coreProperties>
</file>