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C65B36C" Type="http://schemas.openxmlformats.org/officeDocument/2006/relationships/officeDocument" Target="/word/document.xml" /><Relationship Id="coreR6C65B36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XXIII/177/2026</w:t>
        <w:br w:type="textWrapping"/>
        <w:t>Rady Miejskiej w Sępólnie Krajeńskim</w:t>
        <w:br w:type="textWrapping"/>
        <w:t>z dnia 28 stycznia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Łącznie nakłady finansowe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2026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2027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2028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2029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52 491 069,33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15 859 215,06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17 839 214,00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18 600 156,73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4 217 511,43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1 489 214,00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33 890 912,60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11 641 703,63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16 350 000,00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20 597 155,33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9 215 645,81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6 371 214,00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5 642 311,73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2 620 660,18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4 675 531,53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311 082,00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110 294,00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14 954 843,60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6 594 985,63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2 732 843,60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31 893 914,00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6 643 569,25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11 468 000,00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12 957 845,00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1 596 851,25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28 250,00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27 675,00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249 920,00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46 925,00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18 936 069,00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5 046 718,00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10 050 000,00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516 969,00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42 472 429,06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14 480 725,43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27 991 703,63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15 586 859,81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2 691 874,18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2 191 966,07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181 508,00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12 894 985,63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672 985,63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26 885 569,25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11 788 851,25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46 925,00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15 096 718,00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404 219,00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2026-01-29T11:45:34Z</dcterms:created>
  <cp:lastModifiedBy>HOST-13\Frosina</cp:lastModifiedBy>
  <dcterms:modified xsi:type="dcterms:W3CDTF">2026-01-29T11:19:29Z</dcterms:modified>
  <cp:revision>5</cp:revision>
  <dc:title>Uchwała nr  XXIII/177/2026 z dnia 28 stycznia 2026 r.</dc:title>
</cp:coreProperties>
</file>