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4EFAF87" Type="http://schemas.openxmlformats.org/officeDocument/2006/relationships/officeDocument" Target="/word/document.xml" /><Relationship Id="coreR44EFAF8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2 do uchwały nr XXI/163/2025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Wykaz przedsięwzięć do WPF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59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Okres realizacji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Łącznie nakłady finansowe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2025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2026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2027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2028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2029</w:t>
            </w:r>
          </w:p>
        </w:tc>
        <w:tc>
          <w:tcPr>
            <w:tcW w:w="1657" w:type="dxa"/>
            <w:vMerge w:val="restart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2030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59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</w:t>
            </w: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57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przedsięwzięcia-ogółem (1.1+1.2+1.3)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65 278 775,92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26 485 002,28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19 016 611,16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5 249 214,00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1.a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17 920 156,45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3 751 346,53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3 597 733,16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1 249 214,00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1.b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47 358 619,47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22 733 655,75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15 418 878,00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18 823 626,88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8 671 355,36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8 843 816,91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71 214,00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5 642 311,45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2 350 346,53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2 287 806,91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71 214,00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4 675 531,25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1 883 474,44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1 859 112,80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655 698,20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337 298,09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318 400,11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311 082,00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129 574,00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110 294,00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13 181 315,43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6 321 008,83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6 556 010,00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2 136 127,83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2 390 344,00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2 390 344,00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2 732 843,60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1 778 547,00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650 000,00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5 922 000,00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15 990,00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5 906 010,00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związane z umowami partnerstwa publiczno-prywatnego, z tego: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pozostałe (inne niż wymienione w pkt 1.1 i 1.2), z tego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46 455 149,04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17 813 646,92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10 172 794,25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1.3.1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12 277 845,00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1 401 000,00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1 309 926,25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28 250,00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13 575,00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2 550,00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27 675,00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9 225,00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8 456,25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249 920,00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167 000,00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82 920,00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14 600,00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890 000,00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10 954 000,00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954 000,00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38 000,00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1.3.2</w:t>
            </w:r>
          </w:p>
        </w:tc>
        <w:tc>
          <w:tcPr>
            <w:tcW w:w="90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34 177 304,04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16 412 646,92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8 862 868,00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516 969,00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229 600,00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205 369,00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4 609 955,89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460 730,00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2 261 400,00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429 876,00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357 480,00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1 783 200,00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945 701,00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837 499,00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929 239,00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1 728 184,15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1 057 620,92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2 921 500,00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1.3.2.13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3 019 500,00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1 519 500,00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1.3.2.14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1.3.2.15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1.3.2.16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1.3.2.17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110 000,00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120 000,00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1.3.2.18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530 000,00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1.3.2.19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1.3.2.20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5 600 000,00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4 000 000,00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1.3.2.21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1.3.2.22</w:t>
            </w:r>
          </w:p>
        </w:tc>
        <w:tc>
          <w:tcPr>
            <w:tcW w:w="59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245 000,00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245 000,00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57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14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14"/>
          <w:u w:val="none" w:color="000000"/>
          <w:vertAlign w:val="baseline"/>
        </w:rPr>
        <w:br w:type="textWrapping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776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Nazwa i cel</w:t>
            </w:r>
          </w:p>
        </w:tc>
        <w:tc>
          <w:tcPr>
            <w:tcW w:w="18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Jednostka odpowiedzialna lub koordynująca</w:t>
            </w:r>
          </w:p>
        </w:tc>
        <w:tc>
          <w:tcPr>
            <w:tcW w:w="1280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Okres realizacji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2031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2032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2033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2034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2035</w:t>
            </w:r>
          </w:p>
        </w:tc>
        <w:tc>
          <w:tcPr>
            <w:tcW w:w="1633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Limit zobowiązań</w:t>
            </w:r>
          </w:p>
        </w:tc>
      </w:tr>
      <w:tr>
        <w:tblPrEx>
          <w:tblW w:w="5000" w:type="pct"/>
          <w:tblLayout w:type="fixed"/>
        </w:tblPrEx>
        <w:trPr>
          <w:tblHeader/>
        </w:trPr>
        <w:tc>
          <w:tcPr>
            <w:tcW w:w="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776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800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od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</w:t>
            </w: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  <w:tc>
          <w:tcPr>
            <w:tcW w:w="1633" w:type="dxa"/>
            <w:vMerge w:val="continue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przedsięwzięcia-ogółem (1.1+1.2+1.3)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59 106 827,44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1.a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16 954 293,69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1.b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42 152 533,75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związane z programami realizowanymi z udziałem środków, o których mowa w art.5 ust.1 pkt 2 i 3 ustawy z dnia 27 sierpnia 2009.r. o finansach publicznych (Dz.U. z 2017 r. poz. 2077, z późn.zm.),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17 586 386,27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4 709 367,44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Sępólnie Krajeńskim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3 742 587,24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Kompetencje kluczem do przyszłości - edycja III - podniesienie umiejętności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ZAKŁAD OBSŁUGI OŚWIATY SAMORZĄDOWEJ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655 698,20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Klub Integracji Społecznej w Sępolnie Krajeńskim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311 082,00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12 877 018,83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drogi gminnej w miejscowości Świdwie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2 136 127,83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Budowa kanalizacji sanitarnej w Lutowie 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2 390 344,00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Centrum Usług Społecznych w Gminie Sępólno Krajeńskie - usługi społeczne dla osób wymagających wsparcia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OŚRODEK POMOCY SPOŁECZNEJ W SĘPÓLNIE KRAJEŃSKIM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2 428 547,00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zbiornika retencyjnego w miejscowości Wlościbórz gmina Sępolno Krajeńskie - Poprawa retencji wód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1.1.2.5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Kompleksowa modernizacja energetyczna wraz z audytem wiejskich szkół podstawowych w Gminie Sępólno Krajeńskie - Modernizacja energetyczna szkół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5 922 000,00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związane z umowami partnerstwa publiczno-prywatnego, z tego: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1.2.2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Wydatki na programy, projekty lub zadania pozostałe (inne niż wymienione w pkt 1.1 i 1.2), z tego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41 520 441,17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1.3.1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bieżące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12 244 926,25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miejscowego planu zagospodarowania przestrzennego przy ul. Leśnej, ul. Koronowskiej i pomiędzy ul. Koronowską, a ul. Sienkiewicza oraz w Niechorzu - Poprawa jakości życia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16 125,00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Program do ewidencja szamb na terenie Gminy Sępólno Krajeńskie - poprawa jakości świadczonych usług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17 681,25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planu ogólnego dla Gminy Sępólno Krajeńskie - Opracowanie planu ogólnego dla Gminy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249 920,00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Plan zagospodarowania przestrzennego ul. Bajkowa w Sępólnie Krajeńskim - zmiana planu zagospodarowania przestrzennego na potrzeby budownictwa mieszkaniowego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planu zagospodarowania przestrzennego os. Leśne w Sępólnie Krajeńskim - zmiana planu zagospodarowania przestrzennego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14 600,00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Umowa dzierżawy - Rozświetlamy Polskę -  realizacja zadania Rozświetlamy Polskę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890 000,00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Publiczny transport zbiorowy - Publiczny transport zbiorowy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10 954 000,00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1.3.1.9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miejscowego planu zagospodarowania przestrzennego pomiędzy ul. Kościuszki a ul. Zakładową w Sępólnie Krajeńskim - Opracowanie miejscowego planu zagospodarowania przestrzennego pomiędzy ul. Kościuszki a ul. Zakładową w Sępólnie Krajeńskim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38 000,00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1.3.2</w:t>
            </w:r>
          </w:p>
        </w:tc>
        <w:tc>
          <w:tcPr>
            <w:tcW w:w="1084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- wydatki majątkowe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b w:val="1"/>
                <w:sz w:val="14"/>
              </w:rPr>
              <w:t>29 275 514,92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Cyberbezpieczny samorząd - Poprawa cyberbezpieczeństwa w Gminie Sępólno Krajeńskie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800 000,00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 - 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2021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434 969,00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budynku Centrum Opiekuńczo-Mieszkalne przy ulicy Młyńskiej w Sępólnie Krajeńskim - Poprawa jakości świadczonych usług opiekuńczo-mieszkalnych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460 730,00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Rozbudowa Szkoły Podstawowej w Wiśniewie - Poprawa warunków nauczania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Urząd Miejski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2022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drogi w miejscowości Wałdówko oraz relacji Komierowo-Mała Klonia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2 261 400,00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Remont muru kamienno-ceglanego ogrodzenia cmentarza przy kościele w Wałdowie - zabytki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429 876,00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Remont dachu kościoła filialnego pw św. Józefa i św. Kazimierza we Włościborzu - Odbudowa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357 480,00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ULIC:Na Skarpie, łącznik Zielona-Kwiatowa, łacznik Zielona-Letniskowa, Zakątek z Łącznikiem do ul. Orzeszkowa - Budowa ULIC:Na Skarpie, łącznik Zielona-Kwiatowa, łacznik Zielona-Letniskowa, Zakątek z Łącznikiem do ul. Orzeszkowa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1 783 200,00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Przebudowa dróg gminnych w Piasecznie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929 239,00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wodociągu Radońsk - Poprawa jakości życia mieszkańców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450 000,00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Rozbudowa Żłobka w CMDiR - Zwiększenie dostępności miejsc w Żłobku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2023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1 057 620,92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Program Rozświetlona Polska - Poprawa bezpieczeństwa energetycznego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2 921 500,00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1.3.2.13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Program "Ciepłe mieszkanie" -  Poprawa jakości powietrza oraz zmniejszenie emisji pyłów oraz gazów cieplarnianych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3 019 500,00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1.3.2.14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Badania konserwatorskie, wykonanie programu prac, konserwacja i restauracja ołtarza głównego, obrazu, remont prezbiterium Kościoła w Sępólnie Krajeńskim - Ochrona zabytków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1.3.2.15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Uzbrojenie terenów inwestycyjnych - dokumentacja - zwiększenie potencjału inwestycyjnego Gminy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1.3.2.16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Dokumentacja projektowa dróg gminnych - Poprawa bezpieczeństwa i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235 000,00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1.3.2.17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Opracowanie dokumentacji projektowej na budowe kanalizacji sanitarnej w Lutowie i Siedlisku - dokumentacja projektowa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1.3.2.18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Modernizacja ul. Ogrodowej - Poprawa jakości dróg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530 000,00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1.3.2.19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Zagospodarowanie lasu komunalnego - Zagospodarowanie lasu komunalnego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2024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1.3.2.20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sali gimnastycznej w Zbożu - inwestycje w infrastrukturę sportową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9 600 000,00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1.3.2.21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Dokumentacja projektowa przebudowy ul. Wysokiej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</w:tr>
      <w:tr>
        <w:tblPrEx>
          <w:tblW w:w="5000" w:type="pct"/>
          <w:tblLayout w:type="fixed"/>
        </w:tblPrEx>
        <w:tc>
          <w:tcPr>
            <w:tcW w:w="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1.3.2.22</w:t>
            </w:r>
          </w:p>
        </w:tc>
        <w:tc>
          <w:tcPr>
            <w:tcW w:w="776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Budowa schodów i platformy przy Szkole Podstawowej nr 3 w Sępólnie Krajeńskim - Poprawa bezpieczeństwa</w:t>
            </w:r>
          </w:p>
        </w:tc>
        <w:tc>
          <w:tcPr>
            <w:tcW w:w="180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Urząd Miejski w Sępólnie Krajeńskim 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2025</w:t>
            </w:r>
          </w:p>
        </w:tc>
        <w:tc>
          <w:tcPr>
            <w:tcW w:w="640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633" w:type="dxa"/>
            <w:tcBorders>
              <w:top w:val="single" w:sz="2" w:space="0" w:shadow="0" w:frame="0"/>
              <w:left w:val="single" w:sz="2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cMar>
              <w:top w:w="60" w:type="dxa"/>
              <w:left w:w="60" w:type="dxa"/>
              <w:right w:w="60" w:type="dxa"/>
            </w:tcMar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</w:pPr>
            <w:r>
              <w:rPr>
                <w:sz w:val="14"/>
              </w:rPr>
              <w:t>245 000,00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16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16"/>
          <w:u w:val="none" w:color="000000"/>
          <w:vertAlign w:val="baseline"/>
        </w:rPr>
        <w:br w:type="textWrapping"/>
      </w:r>
    </w:p>
    <w:sectPr>
      <w:endnotePr>
        <w:numFmt w:val="decimal"/>
      </w:endnotePr>
      <w:type w:val="nextPage"/>
      <w:pgSz w:w="23811" w:h="16838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2025-11-27T08:06:26Z</dcterms:created>
  <cp:lastModifiedBy>HOST-13\Frosina</cp:lastModifiedBy>
  <dcterms:modified xsi:type="dcterms:W3CDTF">2025-11-27T09:03:51Z</dcterms:modified>
  <cp:revision>10</cp:revision>
  <dc:title>Uchwała nr  XXI/163/2025 z dnia 26 listopada 2025 r.</dc:title>
</cp:coreProperties>
</file>