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6FFCA92" Type="http://schemas.openxmlformats.org/officeDocument/2006/relationships/officeDocument" Target="/word/document.xml" /><Relationship Id="coreR46FFCA92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XXI/163/2025</w:t>
        <w:br w:type="textWrapping"/>
        <w:t>Rady Miejskiej w Sępólnie Krajeńskim</w:t>
        <w:br w:type="textWrapping"/>
        <w:t>z dnia 26 listopada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b w:val="0"/>
          <w:caps w:val="0"/>
          <w:strike w:val="0"/>
          <w:color w:val="auto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Wieloletnia Prognoza Finansowa</w:t>
      </w:r>
      <w:r>
        <w:rPr>
          <w:rFonts w:ascii="Times New Roman" w:hAnsi="Times New Roman"/>
          <w:b w:val="1"/>
          <w:caps w:val="0"/>
          <w:sz w:val="22"/>
        </w:rPr>
        <w:fldChar w:fldCharType="begin"/>
      </w:r>
      <w:r>
        <w:rPr>
          <w:rFonts w:ascii="Times New Roman" w:hAnsi="Times New Roman"/>
          <w:b w:val="1"/>
          <w:caps w:val="0"/>
          <w:sz w:val="22"/>
        </w:rPr>
        <w:instrText>HYPERLINK "fnote://1A222B92-214B-44AC-9F49-D17FC478E529"</w:instrText>
      </w:r>
      <w:r>
        <w:rPr>
          <w:rFonts w:ascii="Times New Roman" w:hAnsi="Times New Roman"/>
          <w:b w:val="1"/>
          <w:caps w:val="0"/>
          <w:sz w:val="22"/>
        </w:rPr>
        <w:fldChar w:fldCharType="separate"/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t>1</w:t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fldChar w:fldCharType="end"/>
      </w: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8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36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555" w:type="dxa"/>
            <w:gridSpan w:val="10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2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35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fizycznych</w:t>
            </w: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prawnych</w:t>
            </w: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subwencji ogólnej</w:t>
            </w: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z tytułu dotacji i środków przeznaczonych na cele bieżące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"fnote://B1DC3D56-0053-4C46-9DBC-7DDB6862C240"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3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pozostałe dochody bieżące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"fnote://FAAC5052-FE43-44BD-96FF-0C00A5B9A4F8"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4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ze sprzedaży majątku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tytułu dotacji oraz środków przeznaczonych na inwestycje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podatku od nieruchomości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1.1.1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1.1.3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1.2.2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137 846 584,24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113 399 484,06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42 022 871,72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1 489 997,26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13 014 030,30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25 095 089,64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31 777 495,14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11 900 000,00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24 447 100,18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472 134,00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23 944 966,18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132 200 000,00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122 200 000,00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46 330 200,00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1 564 500,00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13 407 000,00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17 159 146,00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43 739 154,00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12 495 000,00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138 810 000,00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128 810 000,00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48 646 710,00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1 642 725,00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14 077 350,00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18 017 103,00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46 426 112,00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13 119 750,00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2028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"fnote://11FCC401-A176-489D-B4C4-CBC347E5F9FA"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2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145 750 500,00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134 750 500,00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51 079 045,00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1 724 861,00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14 781 218,00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18 917 958,00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48 247 418,00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13 775 738,00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153 038 025,00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142 038 025,00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53 632 998,00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1 811 104,00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15 520 278,00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19 863 856,00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51 209 789,00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14 464 524,00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160 689 926,00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148 689 926,00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56 314 647,00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1 901 659,00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16 296 292,00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20 857 049,00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53 320 279,00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15 187 750,00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168 724 422,00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156 724 422,00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59 130 380,00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1 996 742,00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17 111 106,00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21 899 902,00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56 586 292,00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15 947 138,00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177 160 643,00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164 160 643,00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62 086 899,00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2 096 579,00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17 966 663,00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22 994 897,00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59 015 605,00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16 744 495,00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186 018 675,00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173 018 675,00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65 191 244,00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2 201 408,00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18 864 995,00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24 144 642,00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62 616 386,00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17 581 720,00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195 319 609,00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182 319 609,00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68 450 806,00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2 311 479,00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19 808 245,00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25 351 874,00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66 397 205,00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18 460 805,00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205 085 590,00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192 085 590,00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71 873 347,00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2 427 053,00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20 798 657,00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26 619 468,00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70 367 065,00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19 383 846,00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705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95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56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na wynagrodzenia i składki od nich naliczane</w:t>
            </w:r>
          </w:p>
        </w:tc>
        <w:tc>
          <w:tcPr>
            <w:tcW w:w="88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tytułu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obsługę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525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Inwestycje i zakupy inwestycyjne, o których mowa w art. 236 ust. 4 pkt 1 ustawy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gwarancje i poręczenia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w terminie nie dłuższym niż 90 dni po zakończeniu programu, projektu lub zadania i otrzymaniu refundacji z tych środków (bez odsetek i dyskonta od zobowiązań na wkład krajowy)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z tytułu zobowiązań zaciągniętych na wkład krajowy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odsetki i dyskonto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 charakterze dotacyjnym na inwestycje i zakupy inwestycyjne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2.1.1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2.1.2.1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2.1.3.1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2.1.3.2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2.2.1.1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141 354 193,78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109 978 984,82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54 320 999,36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610 000,00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31 375 208,96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28 297 980,49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4 611 456,00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130 950 000,00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105 950 000,00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55 270 060,00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112 560 000,00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58 033 562,00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119 100 500,00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60 935 240,00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152 438 025,00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128 438 025,00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63 982 002,00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160 039 926,00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137 039 926,00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67 181 102,00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167 324 422,00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145 324 422,00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70 540 158,00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177 160 643,00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156 160 643,00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74 067 165,00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77 770 524,00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195 319 609,00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81 659 050,00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85 742 003,00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Wynik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Przychody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Kwota prognozowanej nadwyżki budżetu przeznaczana na spłatę kredytów, pożyczek i wykup papierów wartościowych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"fnote://5AAA78D8-1321-4141-8D2D-D14CD91886B9"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5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Kredyty, pożyczki, emisja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Nadwyżka budżetowa z lat ubiegłych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"fnote://F646988B-B0B3-4786-BAD6-154910E5CACC"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6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Wolne środki, o których mowa w art. 217 ust.2 pkt 6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-3 507 609,54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4 757 609,54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1 540 897,28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1 540 897,28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3 216 712,26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1 966 712,26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 udzielonych pożyczek w latach ubiegłych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Inne przychody niezwiązane z zaciągnięciem długu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"fnote://DE635625-D2BD-4DAE-9B66-E08AB051EEFB"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7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Spłaty rat kapitałowych kredytów i pożyczek oraz wykup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łączna kwota przypadających na dany rok kwot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3a ustawy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zrównoważenia wydatków bieżących, o której mowa w art. 242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łączna kwota przypadających na dany rok kwot ustawowych wyłączeń z limitu spłaty zobowiązań,z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Inne rozchody niezwiązane ze spłatą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długu, którego planowana spłata dokona się z wydatków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Różnica między dochodami bieżącymi a wydatkami bieżącymi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Różnica między dochodami bieżącymi, skorygowanymi o środki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"fnote://5FCAD546-4FEE-4CA4-B3F0-2725AA0EDEAC"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8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t xml:space="preserve"> a wydatkami bieżącymi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wyłączeń z tytułu wcześniejszej spłaty zobowiązań, określonych w art. 243 ust. 3b ustawy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przypadających na dany rok kwot pozostałych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środkami nowego zobowiązania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wolnymi środkami, o których mowa w art. 217 ust. 2 pkt 6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innymi środkami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6 800 000,00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3 420 499,24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8 178 108,78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13 600 000,00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11 400 000,00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Wskaźnik spłaty zobowiązań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lewej stronie nierówności we wzorze, o którym mowa w art. 243 ust. 1 ustawy (po uwzględnieniu zobowiązań związku współtworzonego przez jednostkę samorządu terytorialnego oraz po uwzględnieniu ustawowych wyłączeń przypadających na dany rok)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prawej stronie nierówności we wzorze, o którym mowa w art. 243 ust. 1 ustawy, ustalona dla danego roku (wskaźnik jednoroczny)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plan 3 kwartału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wykonanie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plan 3 kwartałów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wykonanie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2,11%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4,64%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11,83%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15,95%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10,70%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13,94%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10,70%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11,15%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0,82%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10,83%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11,29%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0,78%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9,39%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10,82%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11,28%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1,26%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8,68%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10,84%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5,67%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4,70%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4,23%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8,33%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8,33%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9000" w:type="dxa"/>
            <w:gridSpan w:val="9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Finansowanie programów, projektów lub zadań realizowanych z udziałem środków, o których mowa w art. 5 ust. 1 pkt 2 i 3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 Wydatki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Dotacje i środki o charakterze bieżącym na realizację programu, projektu lub zadania finansowanego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programy, projekty lub zadania finansowane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4 343 452,07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4 343 452,07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3 888 911,62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6 222 322,28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6 222 322,28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5 958 469,36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4 410 344,84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4 410 344,84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3 772 944,44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2 287 806,91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71 214,00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7000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objęte limitem, o którym mowa w art. 226 ust. 3 pkt 4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pokrycie ujemnego wyniku finansowego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związku współtworzonego przez jednostkę samorządu terytorialnego przypadających do spłaty w danym roku budżetowym, podlegająca doliczeniu zgodnie z art. 244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bieżące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majątkowe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10.5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6 518 039,15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6 518 039,15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5 473 522,57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26 485 002,28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3 751 346,53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22 733 655,75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6 556 010,00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19 016 611,16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3 597 733,16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15 418 878,00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5 249 214,00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1 249 214,00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000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Spłaty, o których mowa w poz. 5.1, wynikające wyłącznie z tytułu zobowiązań już zaciągniętych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zmniejszające dług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wzrostu(+)/spadku(−) kwoty długu wynikająca z operacji niekasowych (m.in. umorzenia, różnice kursowe)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Wcześniejsza spłata zobowiązań, wyłączona z limitu spłaty zobowiązań, dokonywana w formie wydatków budżetowych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Wykup papierów wartościowych, spłaty rat kredytów i pożyczek wraz z należnymi odsetkami i dyskontem, odpowiednio emitowanych lub zaciągniętych do równowartości kwoty ubytku w wykonanych dochodach jednostki samorządu terytorialnego będącego skutkiem wystąpienia COVID-19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Wydatki bieżące podlegające ustawowemu wyłączeniu z limitu spłaty zobowiązań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"fnote://0432D64E-0F2B-4C37-8D28-85924AC5EA37"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9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wymagalnych z lat poprzednich, innych niż w poz. 10.7.3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zaliczanych do tytułu dłużnego – kredyt i pożyczka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wypłaty z tytułu wymagalnych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zobowiązań zaciągniętych po dniu 1 stycznia 2019 r.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dokonywana w formie wydatku bieżącego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* Informacje zawarte w tej części wieloletniej prognozy finansowej, w tym o spełnieniu relacji określonej w art. 243 ustawy zostaną automatycznie wygenerowane przez aplikację wskazaną przez Ministra Finansów, o której mowa w § 4 ust. 1 rozporządzenia, na podstawie danych historycznych oraz prognozowanych przez jednostkę samorządu terytorialnego.Automatyczne wyliczenia danych na podstawie wartości historycznych i prognozowanych przez jednostkę samorządu terytorialnego dotyczą w szczególności także pozycji 8.3–8.3.1 i pozycji z sekcji 12.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x - pozycje oznaczone symbolem „x” sporządza się na okres prognozy kwoty długu, zgodnie z art. 227 ust. 2 ustawy. Okres ten nie podlega wydłużeniu w sytuacji planowania wydatków z tytułu niewymagalnych poręczeń i gwarancji.W przypadku planowania wydatków z tytułu niewymagalnych poręczeń i gwarancji w okresie dłuższym niż okres, na który zaciągnięto oraz planuje się zaciągnąć zobowiązania dłużne, informację o wydatkach z tytułu niewymagalnych poręczeń i gwarancji, wykraczających poza wspomniany okres, należy zamieścić w objaśnieniach do wieloletniej prognozy finansowej.</w:t>
      </w: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2025-11-27T08:06:26Z</dcterms:created>
  <cp:lastModifiedBy>HOST-13\Frosina</cp:lastModifiedBy>
  <dcterms:modified xsi:type="dcterms:W3CDTF">2025-11-27T09:03:50Z</dcterms:modified>
  <cp:revision>10</cp:revision>
  <dc:title>Uchwała nr  XXI/163/2025 z dnia 26 listopada 2025 r.</dc:title>
</cp:coreProperties>
</file>