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A499B3" Type="http://schemas.openxmlformats.org/officeDocument/2006/relationships/officeDocument" Target="/word/document.xml" /><Relationship Id="coreR5A499B3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zmniejszenie o 44 528,74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45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36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38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44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4 203 707,48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137 624,53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4 341 332,01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01044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Infrastruktura sanitacyjna wsi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2 939 500,00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-550 156,00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2 389 344,00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2 939 500,00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-550 156,00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2 389 344,00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dofinansowanie PROW kanalizacja Lutowo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1 234 207,48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687 780,53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1 921 988,01</w:t>
            </w:r>
          </w:p>
        </w:tc>
      </w:tr>
      <w:tr>
        <w:tblPrEx>
          <w:tblW w:w="5000" w:type="pct"/>
          <w:tblLayout w:type="fixed"/>
        </w:tblPrEx>
        <w:trPr>
          <w:trHeight w:hRule="atLeast" w:val="127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1 234 207,48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687 780,53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1 921 988,01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Wojewody K-P - zwrot akcyzy zawartej w cenie oleju napędowego dla rolników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6 245 017,00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-370 579,00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5 874 438,00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5 702 017,00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-371 579,00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5 330 438,00</w:t>
            </w:r>
          </w:p>
        </w:tc>
      </w:tr>
      <w:tr>
        <w:tblPrEx>
          <w:tblW w:w="5000" w:type="pct"/>
          <w:tblLayout w:type="fixed"/>
        </w:tblPrEx>
        <w:trPr>
          <w:trHeight w:hRule="atLeast" w:val="7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0620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za zezwolenia, akredytacje oraz opłaty ewidencyjne, w tym opłaty za częstotliwości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635 583,00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-379 579,00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256 004,00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dofinansowanie RFRD ul. Turystyczna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Płatne parkowanie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kosztów egzekucyjnych, opłaty komorniczej i kosztów upomnień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koszty upomnień SPP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5 866 072,47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41 574,00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5 907 646,47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1 649 500,00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2 634,00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1 652 134,00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0470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za trwały zarząd, użytkowanie i służebności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0870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ze sprzedaży składników majątkowych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1 634,00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1 634,00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trwały zarząd i sprzedaż zużytych składników majątku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1 139 344,00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38 940,00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1 178 284,00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0960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otrzymanych spadków, zapisów i darowizn w postaci pieniężnej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5 300,00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38 940,00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44 240,00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Darowizna na rzecz Gminy - udział mieszkańców w wymianie pieców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1 000 642,74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86 525,00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1 087 167,74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734 016,13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-508 475,00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225 541,13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142 067,45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35 080,30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177 147,75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0950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kar i odszkodowań wynikających z umów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19 298,68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1 094,70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20 393,38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odsetki bankowe, odszkodowania majątkowe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545 000,00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-545 000,00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595 000,00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54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6257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493 850,00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493 850,00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4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6259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101 150,00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101 150,00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zmiana klasyfikacji budżetowej - program cyberbezpieczna gmina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2 500 000,00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-40 000,00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8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103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60 057 370,70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14 401,00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60 071 771,70</w:t>
            </w:r>
          </w:p>
        </w:tc>
      </w:tr>
      <w:tr>
        <w:tblPrEx>
          <w:tblW w:w="5000" w:type="pct"/>
          <w:tblLayout w:type="fixed"/>
        </w:tblPrEx>
        <w:trPr>
          <w:trHeight w:hRule="atLeast" w:val="10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8 153 000,00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8 158 000,00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kosztów egzekucyjnych, opłaty komorniczej i kosztów upomnień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75618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opłat stanowiących dochody jednostek samorządu terytorialnego na podstawie ustaw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774 500,00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9 401,00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783 901,00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0410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opłaty skarbowej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218 000,00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4 401,00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60 901,00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koszty egzekucyjne, opłata skarbowa, oplata adiacencka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758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Różne rozliczenia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14 500 341,23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5 468,77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14 505 810,00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75814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rozliczenia finansowe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788 880,23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-3 435,23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785 445,00</w:t>
            </w:r>
          </w:p>
        </w:tc>
      </w:tr>
      <w:tr>
        <w:tblPrEx>
          <w:tblW w:w="5000" w:type="pct"/>
          <w:tblLayout w:type="fixed"/>
        </w:tblPrEx>
        <w:trPr>
          <w:trHeight w:hRule="atLeast" w:val="69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-3 435,23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496 564,77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432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75835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Rezerwa na uzupełnienie dochodów jednostek samorządu terytorialnego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235 997,00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8 904,00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244 901,00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uzupełnienie dochodów gmin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235 997,00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8 904,00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244 901,00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rezerwy oświatowej na uzupełnienie dochodów jednostek samorządu terytorialnego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3 980 750,64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73 435,23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4 054 185,87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2 441 394,40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2 391 394,40</w:t>
            </w:r>
          </w:p>
        </w:tc>
      </w:tr>
      <w:tr>
        <w:tblPrEx>
          <w:tblW w:w="5000" w:type="pct"/>
          <w:tblLayout w:type="fixed"/>
        </w:tblPrEx>
        <w:trPr>
          <w:trHeight w:hRule="atLeast" w:val="121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6350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państwowych funduszy celowych na finansowanie lub dofinansowanie kosztów realizacji inwestycji i zakupów inwestycyjnych jednostek sektora finansów publicznych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przesunięcie planu z działu 75095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Oddziały przedszkolne w szkołach podstawowych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1 376 421,00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1 466 421,00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program "Cyfrowy uczeń" realizowany w oddziałach przedszkolnych i przedszkolach</w:t>
            </w:r>
          </w:p>
        </w:tc>
      </w:tr>
      <w:tr>
        <w:tblPrEx>
          <w:tblW w:w="5000" w:type="pct"/>
          <w:tblLayout w:type="fixed"/>
        </w:tblPrEx>
        <w:trPr>
          <w:trHeight w:hRule="atLeast" w:val="7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80153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Zapewnienie uczniom prawa do bezpłatnego dostępu do podręczników, materiałów edukacyjnych lub materiałów ćwiczeniowych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116 993,54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3 435,23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120 428,77</w:t>
            </w:r>
          </w:p>
        </w:tc>
      </w:tr>
      <w:tr>
        <w:tblPrEx>
          <w:tblW w:w="5000" w:type="pct"/>
          <w:tblLayout w:type="fixed"/>
        </w:tblPrEx>
        <w:trPr>
          <w:trHeight w:hRule="atLeast" w:val="7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3 435,23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3 435,23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75814 -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7 780 977,27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7 780 977,27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4 966 317,65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4 966 317,65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52 810,00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-4 800,00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48 010,00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dochody realizowane przez CUS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1 759 832,00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-203 000,00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1 556 832,00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1 759 832,00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-203 000,00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1 556 832,00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5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2057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988 000,00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798 000,00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4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2059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projekt CUS "Wygrana rodzina"</w:t>
            </w:r>
          </w:p>
        </w:tc>
      </w:tr>
      <w:tr>
        <w:tblPrEx>
          <w:tblW w:w="5000" w:type="pct"/>
          <w:tblLayout w:type="fixed"/>
        </w:tblPrEx>
        <w:trPr>
          <w:trHeight w:hRule="atLeast" w:val="88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2100</w:t>
            </w: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14 209 882,52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25 021,73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14 234 904,25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4 203 358,20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25 021,73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4 228 379,93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2 236 936,73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2 236 936,73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2 534 803,00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-2 222 739,00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312 064,00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10 824,00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11 574,00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zmiana klasyfikacji budżetowej oraz zwiększenie planu w związku ze zwiększeniem ilości dzieci w CMDiR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11 333 503,00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65 000,00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11 398 503,00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272 878,00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325 878,00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123 000,00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3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149 878,00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145 878,00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Rozliczenie projektu do wysokości otrzymanego dofinansowania - zbiornik retencyjny we Włościborzu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Ochrona powietrza atmosferycznego i klimatu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3 055 625,00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3 055 625,00</w:t>
            </w:r>
          </w:p>
        </w:tc>
      </w:tr>
      <w:tr>
        <w:tblPrEx>
          <w:tblW w:w="5000" w:type="pct"/>
          <w:tblLayout w:type="fixed"/>
        </w:tblPrEx>
        <w:trPr>
          <w:trHeight w:hRule="atLeast" w:val="136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6280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od pozostałych jednostek zaliczanych do sektora finansów publicznych na finansowanie lub dofinansowanie kosztów realizacji inwestycji i zakupów inwestycyjnych jednostek zaliczanych do sektora finansów publicznych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3 019 500,00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3 019 500,00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7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3 019 500,00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-3 019 500,00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zmiana klasyfikacji budżetowej (projekt ciepłe mieszkanie)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90026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działania związane z gospodarką odpadami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295 000,00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0640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kosztów egzekucyjnych, opłaty komorniczej i kosztów upomnień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0910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odsetek od nieterminowych wpłat z tytułu podatków i opłat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koszty egzekucyjne opłata za gospodarowanie odpadami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0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1 061 500,00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120 000,00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1 181 500,00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1 061 500,00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1 181 500,00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4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120 000,00</w:t>
            </w:r>
          </w:p>
        </w:tc>
        <w:tc>
          <w:tcPr>
            <w:tcW w:w="144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 wysokości planowanego wykonania - bieżąca działalność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45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8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589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6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136 462 240,05</w:t>
            </w:r>
          </w:p>
        </w:tc>
        <w:tc>
          <w:tcPr>
            <w:tcW w:w="138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-44 528,74</w:t>
            </w:r>
          </w:p>
        </w:tc>
        <w:tc>
          <w:tcPr>
            <w:tcW w:w="144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136 417 711,31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zmniejszenie o 44 528,74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59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4 470 907,48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137 624,53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4 608 532,01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01044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Infrastruktura sanitacyjna wsi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3 151 700,00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-550 156,00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2 601 544,00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2 939 500,00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-550 156,00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2 389 344,00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Zmniejszenie planu do wysokości poniesionych wydatków -  kanalizacja Lutowo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1 234 207,48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687 780,53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1 921 988,01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9 750,00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26 250,00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2 793,45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1 650,68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4 444,13</w:t>
            </w:r>
          </w:p>
        </w:tc>
      </w:tr>
      <w:tr>
        <w:tblPrEx>
          <w:tblW w:w="5000" w:type="pct"/>
          <w:tblLayout w:type="fixed"/>
        </w:tblPrEx>
        <w:trPr>
          <w:trHeight w:hRule="atLeast" w:val="5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178,85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116,38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295,23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4 727,84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1 968,83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6 696,67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1 210 007,34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674 294,64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1 884 301,98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Dotacja Wojewody K-P - zwrot akcyzy zawartej w cenie oleju napędowego dla rolników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11 641 413,68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-400 905,01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11 240 508,67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10 078 963,68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-400 905,01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9 678 058,67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564 701,05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123 673,99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688 375,04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3 457 818,65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-524 579,00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2 933 239,65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dofinansowanie RFRD ul. Turystyczna oraz przesunięcie środków na bieżące utrzymanie dróg w tym w ramach funduszu soleckiego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5 087 528,47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-1 060,00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5 086 468,47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791 000,00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8 487,00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6 487,00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-25 000,00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192 286,42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182 286,42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utrzymanie lokali użytkowych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1 119 300,00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38 940,00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1 158 240,00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711 755,91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38 940,00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750 695,91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na wymianę pieców w lokalach komunalnych - darowizna na rzecz Gminy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710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Działalność usługowa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551 500,00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551 500,00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71004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Plany zagospodarowania przestrzennego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406 600,00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406 100,00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wynagrodzenie komisji planistycznej (plany zagospodarowania przestrzennego)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10 036 271,61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10 036 271,61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6 932 050,00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6 943 050,00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625 173,29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626 173,29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4360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Opłaty z tytułu zakupu usług telekomunikacyjnych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75075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Promocja jednostek samorządu terytorialnego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181 465,00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190 465,00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37 587,65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46 587,65</w:t>
            </w:r>
          </w:p>
        </w:tc>
      </w:tr>
      <w:tr>
        <w:tblPrEx>
          <w:tblW w:w="5000" w:type="pct"/>
          <w:tblLayout w:type="fixed"/>
        </w:tblPrEx>
        <w:trPr>
          <w:trHeight w:hRule="atLeast" w:val="25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1 119 535,00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1 099 535,00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3030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Różne wydatki na rzecz osób fizycznych 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238 535,00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-25 000,00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213 535,00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Koszty postępowania sądowego i prokuratorskiego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UM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2 787 047,00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-40 000,00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2 747 047,00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3280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związane z udzielaniem pomocy obywatelom Ukrainy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-39 500,00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5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4350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towarów (w szczególności materiałów, leków, żywności) w związku z pomocą obywatelom Ukrainy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27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39 848 080,68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128 904,00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39 976 984,68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23 266 401,44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8 904,00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23 275 305,44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4790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nauczycieli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8 946 284,00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8 904,00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8 955 188,00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Środki z rezerwy oświatowej na wynagrodzenia dla nauczycieli</w:t>
            </w:r>
          </w:p>
        </w:tc>
      </w:tr>
      <w:tr>
        <w:tblPrEx>
          <w:tblW w:w="5000" w:type="pct"/>
          <w:tblLayout w:type="fixed"/>
        </w:tblPrEx>
        <w:trPr>
          <w:trHeight w:hRule="atLeast" w:val="55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Oddziały przedszkolne w szkołach podstawowych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1 290 149,52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1 320 149,52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17 625,00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47 625,00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8 821 280,44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8 911 280,44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4240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dydaktycznych i książek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60 750,00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150 750,00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program "Cyfrowy uczeń" realizowany w oddziałach przedszkolnych i przedszkolach</w:t>
            </w:r>
          </w:p>
        </w:tc>
      </w:tr>
      <w:tr>
        <w:tblPrEx>
          <w:tblW w:w="5000" w:type="pct"/>
          <w:tblLayout w:type="fixed"/>
        </w:tblPrEx>
        <w:trPr>
          <w:trHeight w:hRule="atLeast" w:val="33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80113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Dowożenie uczniów do szkół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391 000,00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-3 435,23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387 564,77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4370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związanych z pomocą obywatelom Ukrainy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-3 435,23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11 564,77</w:t>
            </w:r>
          </w:p>
        </w:tc>
      </w:tr>
      <w:tr>
        <w:tblPrEx>
          <w:tblW w:w="5000" w:type="pct"/>
          <w:tblLayout w:type="fixed"/>
        </w:tblPrEx>
        <w:trPr>
          <w:trHeight w:hRule="atLeast" w:val="69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80153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Zapewnienie uczniom prawa do bezpłatnego dostępu do podręczników, materiałów edukacyjnych lub materiałów ćwiczeniowych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116 993,54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3 435,23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120 428,77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4350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towarów (w szczególności materiałów, leków, żywności) w związku z pomocą obywatelom Ukrainy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3 435,23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3 435,23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1 881 769,30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-203 000,00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1 678 769,30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1 881 769,30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-203 000,00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1 678 769,30</w:t>
            </w:r>
          </w:p>
        </w:tc>
      </w:tr>
      <w:tr>
        <w:tblPrEx>
          <w:tblW w:w="5000" w:type="pct"/>
          <w:tblLayout w:type="fixed"/>
        </w:tblPrEx>
        <w:trPr>
          <w:trHeight w:hRule="atLeast" w:val="14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2367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760 000,00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-180 500,00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579 500,00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45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2369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-9 500,00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dotacja w ramach programu Wygrana rodzina</w:t>
            </w:r>
          </w:p>
        </w:tc>
      </w:tr>
      <w:tr>
        <w:tblPrEx>
          <w:tblW w:w="5000" w:type="pct"/>
          <w:tblLayout w:type="fixed"/>
        </w:tblPrEx>
        <w:trPr>
          <w:trHeight w:hRule="atLeast" w:val="78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3290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 wypłacane obywatelom Ukrainy przebywającym na terytorium RP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wykonania - Fundusz Pomocy Ukrainie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412 271,52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-5 804,98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406 466,54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36 876,23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-310,79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36 565,44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4177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64 658,15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-1 695,02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62 963,13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4179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6 864,69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-89,21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6 775,48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4717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3 244,77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1 244,77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4719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195,23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95,23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dotacja w ramach programu Wygrana rodzina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17 895 475,52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26 021,73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17 921 497,25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Świadczenie wychowawcze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6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zwroty nienależnie pobranych świadczeń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6 445 761,93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25 021,73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6 470 783,66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48 940,00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50 940,00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88 363,94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107 363,94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73 388,82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75 388,82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86 833,00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2 021,73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88 854,73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w związku ze zwiększeniem ilości dzieci w CMDiR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15 116 835,15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47 815,97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15 164 651,12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194 000,00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oplat z tytułu korzystania z infrastruktury wod-kan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Utrzymanie zieleni w miastach i gminach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205 056,15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-2 193,63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202 862,52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41 293,33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-1 671,65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39 621,68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155 762,82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-521,98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155 240,84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w ramach funduszu sołeckiego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90015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Oświetlenie ulic, placów i dróg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4 538 491,00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-6 990,40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4 531 500,60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6 991,00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-6 990,40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0,60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60016 - w ramach funduszu sołeckiego Lutowo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5 135 112,17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100 070,04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5 235 182,21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2 637 579,49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100 570,04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2 738 149,53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2480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podmiotowa z budżetu dla samorządowej instytucji kultury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2 120 000,00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2 220 000,00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dotacji podmiotowej - bieżąca działalność CKiS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833,30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533,30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5 660,00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-1 800,00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3 860,00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151 047,85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3 425,87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154 473,72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39 808,71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1 243,08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41 051,79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79 967,52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82 967,52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164 491,63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-4 998,91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159 492,72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247 776,68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247 276,68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22 547,68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22 047,68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świetlic wiejskich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4 551 300,00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160 000,00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4 711 300,00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3 922 000,00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4 082 000,00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3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2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463 766,88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130 000,00</w:t>
            </w:r>
          </w:p>
        </w:tc>
        <w:tc>
          <w:tcPr>
            <w:tcW w:w="154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593 766,88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planowanych dochodów - działalność CSIR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586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2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139 969 849,59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-44 528,74</w:t>
            </w:r>
          </w:p>
        </w:tc>
        <w:tc>
          <w:tcPr>
            <w:tcW w:w="154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139 925 320,85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2025-10-10T08:06:48Z</dcterms:created>
  <cp:lastModifiedBy>HOST-13\Frosina</cp:lastModifiedBy>
  <dcterms:modified xsi:type="dcterms:W3CDTF">2025-10-31T06:37:59Z</dcterms:modified>
  <cp:revision>20</cp:revision>
  <dc:subject>zmieniająca uchwałę w sprawie uchwalenia budżetu Gminy Sępólno Krajeńskie na 2025 rok</dc:subject>
  <dc:title>Uchwała nr  XX/.../2025 z dnia 29 października 2025 r.</dc:title>
</cp:coreProperties>
</file>